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85" w:firstLine="0"/>
        <w:jc w:val="center"/>
        <w:rPr>
          <w:rFonts w:ascii="Arial" w:cs="Arial" w:eastAsia="Arial" w:hAnsi="Arial"/>
          <w:b w:val="1"/>
          <w:bCs w:val="1"/>
          <w:i w:val="0"/>
          <w:iCs w:val="0"/>
          <w:smallCaps w:val="0"/>
          <w:strike w:val="0"/>
          <w:color w:val="000000"/>
          <w:sz w:val="22"/>
          <w:szCs w:val="22"/>
          <w:u w:val="none"/>
          <w:shd w:fill="auto" w:val="clear"/>
          <w:vertAlign w:val="baseline"/>
        </w:rPr>
      </w:pPr>
      <w:bookmarkStart w:colFirst="0" w:colLast="0" w:name="_24iedslngdls" w:id="0"/>
      <w:bookmarkEnd w:id="0"/>
      <w:r w:rsidDel="00000000" w:rsidR="00000000" w:rsidRPr="00000000">
        <w:rPr>
          <w:rFonts w:ascii="Courier New" w:cs="Courier New" w:eastAsia="Courier New" w:hAnsi="Courier New"/>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margin">
              <wp:posOffset>-122319</wp:posOffset>
            </wp:positionH>
            <wp:positionV relativeFrom="page">
              <wp:posOffset>-100799</wp:posOffset>
            </wp:positionV>
            <wp:extent cx="2238375" cy="962025"/>
            <wp:effectExtent b="0" l="0" r="0" t="0"/>
            <wp:wrapNone/>
            <wp:docPr id="4" name="image4.png"/>
            <a:graphic>
              <a:graphicData uri="http://schemas.openxmlformats.org/drawingml/2006/picture">
                <pic:pic>
                  <pic:nvPicPr>
                    <pic:cNvPr id="0" name="image4.png"/>
                    <pic:cNvPicPr preferRelativeResize="0"/>
                  </pic:nvPicPr>
                  <pic:blipFill>
                    <a:blip r:embed="rId6"/>
                    <a:srcRect b="90073" l="7271" r="62012" t="975"/>
                    <a:stretch>
                      <a:fillRect/>
                    </a:stretch>
                  </pic:blipFill>
                  <pic:spPr>
                    <a:xfrm>
                      <a:off x="0" y="0"/>
                      <a:ext cx="2238375" cy="962025"/>
                    </a:xfrm>
                    <a:prstGeom prst="rect"/>
                    <a:ln/>
                  </pic:spPr>
                </pic:pic>
              </a:graphicData>
            </a:graphic>
          </wp:anchor>
        </w:drawing>
      </w:r>
      <w:r w:rsidDel="00000000" w:rsidR="00000000" w:rsidRPr="00000000">
        <w:rPr>
          <w:rFonts w:ascii="Courier New" w:cs="Courier New" w:eastAsia="Courier New" w:hAnsi="Courier New"/>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margin">
              <wp:posOffset>3884030</wp:posOffset>
            </wp:positionH>
            <wp:positionV relativeFrom="topMargin">
              <wp:align>bottom</wp:align>
            </wp:positionV>
            <wp:extent cx="1905000" cy="771525"/>
            <wp:effectExtent b="0" l="0" r="0" t="0"/>
            <wp:wrapNone/>
            <wp:docPr id="5" name="image4.png"/>
            <a:graphic>
              <a:graphicData uri="http://schemas.openxmlformats.org/drawingml/2006/picture">
                <pic:pic>
                  <pic:nvPicPr>
                    <pic:cNvPr id="0" name="image4.png"/>
                    <pic:cNvPicPr preferRelativeResize="0"/>
                  </pic:nvPicPr>
                  <pic:blipFill>
                    <a:blip r:embed="rId6"/>
                    <a:srcRect b="90427" l="63218" r="11844" t="2393"/>
                    <a:stretch>
                      <a:fillRect/>
                    </a:stretch>
                  </pic:blipFill>
                  <pic:spPr>
                    <a:xfrm>
                      <a:off x="0" y="0"/>
                      <a:ext cx="1905000" cy="771525"/>
                    </a:xfrm>
                    <a:prstGeom prst="rect"/>
                    <a:ln/>
                  </pic:spPr>
                </pic:pic>
              </a:graphicData>
            </a:graphic>
          </wp:anchor>
        </w:draw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margin">
              <wp:align>center</wp:align>
            </wp:positionH>
            <wp:positionV relativeFrom="topMargin">
              <wp:posOffset>68520</wp:posOffset>
            </wp:positionV>
            <wp:extent cx="1400175" cy="1019175"/>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400175" cy="1019175"/>
                    </a:xfrm>
                    <a:prstGeom prst="rect"/>
                    <a:ln/>
                  </pic:spPr>
                </pic:pic>
              </a:graphicData>
            </a:graphic>
          </wp:anchor>
        </w:draw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-149859</wp:posOffset>
            </wp:positionV>
            <wp:extent cx="6304280" cy="736600"/>
            <wp:effectExtent b="0" l="0" r="0" t="0"/>
            <wp:wrapNone/>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6304280" cy="736600"/>
                    </a:xfrm>
                    <a:prstGeom prst="rect"/>
                    <a:ln/>
                  </pic:spPr>
                </pic:pic>
              </a:graphicData>
            </a:graphic>
          </wp:anchor>
        </w:drawing>
      </w:r>
    </w:p>
    <w:p w:rsidR="00000000" w:rsidDel="00000000" w:rsidP="00000000" w:rsidRDefault="00000000" w:rsidRPr="00000000" w14:paraId="00000002">
      <w:pPr>
        <w:pStyle w:val="Heading1"/>
        <w:rPr/>
      </w:pPr>
      <w:r w:rsidDel="00000000" w:rsidR="00000000" w:rsidRPr="00000000">
        <w:rPr>
          <w:rtl w:val="0"/>
        </w:rPr>
      </w:r>
    </w:p>
    <w:p w:rsidR="00000000" w:rsidDel="00000000" w:rsidP="00000000" w:rsidRDefault="00000000" w:rsidRPr="00000000" w14:paraId="00000003">
      <w:pPr>
        <w:spacing w:after="60" w:before="100" w:line="240" w:lineRule="auto"/>
        <w:jc w:val="center"/>
        <w:rPr>
          <w:rFonts w:ascii="Aptos" w:cs="Aptos" w:eastAsia="Aptos" w:hAnsi="Aptos"/>
          <w:b w:val="1"/>
          <w:bCs w:val="1"/>
          <w:color w:val="007356"/>
          <w:sz w:val="32"/>
          <w:szCs w:val="32"/>
        </w:rPr>
      </w:pPr>
      <w:r w:rsidDel="00000000" w:rsidR="00000000" w:rsidRPr="00000000">
        <w:rPr>
          <w:rFonts w:ascii="Aptos" w:cs="Aptos" w:eastAsia="Aptos" w:hAnsi="Aptos"/>
          <w:b w:val="1"/>
          <w:bCs w:val="1"/>
          <w:color w:val="007356"/>
          <w:sz w:val="32"/>
          <w:szCs w:val="32"/>
          <w:rtl w:val="0"/>
        </w:rPr>
        <w:t xml:space="preserve">RED DE DIRECCIÓN ESTRATÉGICA EN LA EDUCACIÓN SUPERIOR</w:t>
      </w:r>
    </w:p>
    <w:p w:rsidR="00000000" w:rsidDel="00000000" w:rsidP="00000000" w:rsidRDefault="00000000" w:rsidRPr="00000000" w14:paraId="00000004">
      <w:pPr>
        <w:spacing w:after="60" w:before="100" w:line="240" w:lineRule="auto"/>
        <w:jc w:val="center"/>
        <w:rPr>
          <w:sz w:val="32"/>
          <w:szCs w:val="32"/>
        </w:rPr>
      </w:pPr>
      <w:r w:rsidDel="00000000" w:rsidR="00000000" w:rsidRPr="00000000">
        <w:rPr>
          <w:rtl w:val="0"/>
        </w:rPr>
      </w:r>
    </w:p>
    <w:p w:rsidR="00000000" w:rsidDel="00000000" w:rsidP="00000000" w:rsidRDefault="00000000" w:rsidRPr="00000000" w14:paraId="00000005">
      <w:pPr>
        <w:spacing w:after="60" w:line="240" w:lineRule="auto"/>
        <w:jc w:val="center"/>
        <w:rPr>
          <w:sz w:val="40"/>
          <w:szCs w:val="40"/>
        </w:rPr>
      </w:pPr>
      <w:r w:rsidDel="00000000" w:rsidR="00000000" w:rsidRPr="00000000">
        <w:rPr>
          <w:rFonts w:ascii="Play" w:cs="Play" w:eastAsia="Play" w:hAnsi="Play"/>
          <w:b w:val="1"/>
          <w:bCs w:val="1"/>
          <w:color w:val="004f8a"/>
          <w:sz w:val="40"/>
          <w:szCs w:val="40"/>
          <w:rtl w:val="0"/>
        </w:rPr>
        <w:t xml:space="preserve">XI CONGRESO INTERNACIONAL</w:t>
      </w:r>
      <w:r w:rsidDel="00000000" w:rsidR="00000000" w:rsidRPr="00000000">
        <w:rPr>
          <w:rtl w:val="0"/>
        </w:rPr>
      </w:r>
    </w:p>
    <w:p w:rsidR="00000000" w:rsidDel="00000000" w:rsidP="00000000" w:rsidRDefault="00000000" w:rsidRPr="00000000" w14:paraId="00000006">
      <w:pPr>
        <w:spacing w:after="60" w:line="240" w:lineRule="auto"/>
        <w:jc w:val="center"/>
        <w:rPr>
          <w:rFonts w:ascii="Play" w:cs="Play" w:eastAsia="Play" w:hAnsi="Play"/>
          <w:b w:val="1"/>
          <w:bCs w:val="1"/>
          <w:color w:val="242424"/>
          <w:sz w:val="36"/>
          <w:szCs w:val="36"/>
        </w:rPr>
      </w:pPr>
      <w:r w:rsidDel="00000000" w:rsidR="00000000" w:rsidRPr="00000000">
        <w:rPr>
          <w:rFonts w:ascii="Play" w:cs="Play" w:eastAsia="Play" w:hAnsi="Play"/>
          <w:b w:val="1"/>
          <w:bCs w:val="1"/>
          <w:color w:val="242424"/>
          <w:sz w:val="36"/>
          <w:szCs w:val="36"/>
          <w:rtl w:val="0"/>
        </w:rPr>
        <w:t xml:space="preserve">GESTIÓN UNIVERSITARIA:</w:t>
        <w:br w:type="textWrapping"/>
        <w:t xml:space="preserve">PROBLEMÁTICA ACTUAL Y RETOS PARA SU TRANSFORMACIÓN</w:t>
      </w:r>
    </w:p>
    <w:p w:rsidR="00000000" w:rsidDel="00000000" w:rsidP="00000000" w:rsidRDefault="00000000" w:rsidRPr="00000000" w14:paraId="00000007">
      <w:pPr>
        <w:spacing w:after="60" w:line="240" w:lineRule="auto"/>
        <w:jc w:val="center"/>
        <w:rPr/>
      </w:pPr>
      <w:r w:rsidDel="00000000" w:rsidR="00000000" w:rsidRPr="00000000">
        <w:rPr>
          <w:rtl w:val="0"/>
        </w:rPr>
      </w:r>
    </w:p>
    <w:p w:rsidR="00000000" w:rsidDel="00000000" w:rsidP="00000000" w:rsidRDefault="00000000" w:rsidRPr="00000000" w14:paraId="00000008">
      <w:pPr>
        <w:spacing w:after="60" w:line="240" w:lineRule="auto"/>
        <w:jc w:val="center"/>
        <w:rPr>
          <w:rFonts w:ascii="Play" w:cs="Play" w:eastAsia="Play" w:hAnsi="Play"/>
          <w:b w:val="1"/>
          <w:bCs w:val="1"/>
          <w:color w:val="004f8a"/>
          <w:sz w:val="36"/>
          <w:szCs w:val="36"/>
        </w:rPr>
      </w:pPr>
      <w:r w:rsidDel="00000000" w:rsidR="00000000" w:rsidRPr="00000000">
        <w:rPr>
          <w:rFonts w:ascii="Play" w:cs="Play" w:eastAsia="Play" w:hAnsi="Play"/>
          <w:b w:val="1"/>
          <w:bCs w:val="1"/>
          <w:color w:val="004f8a"/>
          <w:sz w:val="36"/>
          <w:szCs w:val="36"/>
          <w:rtl w:val="0"/>
        </w:rPr>
        <w:t xml:space="preserve">20- 21 DE OCTUBRE DE 2026</w:t>
      </w:r>
    </w:p>
    <w:p w:rsidR="00000000" w:rsidDel="00000000" w:rsidP="00000000" w:rsidRDefault="00000000" w:rsidRPr="00000000" w14:paraId="00000009">
      <w:pPr>
        <w:spacing w:after="60" w:line="240" w:lineRule="auto"/>
        <w:jc w:val="center"/>
        <w:rPr>
          <w:rFonts w:ascii="Play" w:cs="Play" w:eastAsia="Play" w:hAnsi="Play"/>
          <w:b w:val="1"/>
          <w:bCs w:val="1"/>
          <w:color w:val="004f8a"/>
          <w:sz w:val="36"/>
          <w:szCs w:val="36"/>
        </w:rPr>
      </w:pPr>
      <w:r w:rsidDel="00000000" w:rsidR="00000000" w:rsidRPr="00000000">
        <w:rPr>
          <w:rFonts w:ascii="Play" w:cs="Play" w:eastAsia="Play" w:hAnsi="Play"/>
          <w:b w:val="1"/>
          <w:bCs w:val="1"/>
          <w:color w:val="004f8a"/>
          <w:sz w:val="36"/>
          <w:szCs w:val="36"/>
          <w:rtl w:val="0"/>
        </w:rPr>
        <w:t xml:space="preserve">AULARIO DE CIENCIAS SOCIALES - UNIVERSIDAD DE LA REPÚBLICA (MONTEVIDEO, URUGUAY)</w:t>
      </w:r>
    </w:p>
    <w:p w:rsidR="00000000" w:rsidDel="00000000" w:rsidP="00000000" w:rsidRDefault="00000000" w:rsidRPr="00000000" w14:paraId="0000000A">
      <w:pPr>
        <w:pStyle w:val="Heading1"/>
        <w:spacing w:line="276" w:lineRule="auto"/>
        <w:rPr>
          <w:rFonts w:ascii="Calibri" w:cs="Calibri" w:eastAsia="Calibri" w:hAnsi="Calibri"/>
          <w:b w:val="0"/>
          <w:bCs w:val="0"/>
          <w:sz w:val="22"/>
          <w:szCs w:val="22"/>
        </w:rPr>
      </w:pPr>
      <w:r w:rsidDel="00000000" w:rsidR="00000000" w:rsidRPr="00000000">
        <w:rPr>
          <w:rtl w:val="0"/>
        </w:rPr>
      </w:r>
    </w:p>
    <w:p w:rsidR="00000000" w:rsidDel="00000000" w:rsidP="00000000" w:rsidRDefault="00000000" w:rsidRPr="00000000" w14:paraId="0000000B">
      <w:pPr>
        <w:pStyle w:val="Heading1"/>
        <w:spacing w:line="276" w:lineRule="auto"/>
        <w:rPr/>
      </w:pPr>
      <w:r w:rsidDel="00000000" w:rsidR="00000000" w:rsidRPr="00000000">
        <w:rPr>
          <w:rFonts w:ascii="Aptos" w:cs="Aptos" w:eastAsia="Aptos" w:hAnsi="Aptos"/>
          <w:color w:val="007356"/>
          <w:sz w:val="24"/>
          <w:szCs w:val="24"/>
          <w:rtl w:val="0"/>
        </w:rPr>
        <w:t xml:space="preserve">ORGANIZAN:</w:t>
      </w:r>
      <w:r w:rsidDel="00000000" w:rsidR="00000000" w:rsidRPr="00000000">
        <w:rPr>
          <w:rtl w:val="0"/>
        </w:rPr>
        <w:t xml:space="preserve">  </w:t>
      </w:r>
      <w:r w:rsidDel="00000000" w:rsidR="00000000" w:rsidRPr="00000000">
        <w:rPr>
          <w:sz w:val="24"/>
          <w:szCs w:val="24"/>
          <w:rtl w:val="0"/>
        </w:rPr>
        <w:t xml:space="preserve">Red de Dirección Estratégica en la Educación Superior</w:t>
      </w:r>
      <w:r w:rsidDel="00000000" w:rsidR="00000000" w:rsidRPr="00000000">
        <w:rPr>
          <w:rtl w:val="0"/>
        </w:rPr>
        <w:t xml:space="preserve"> </w:t>
      </w:r>
    </w:p>
    <w:p w:rsidR="00000000" w:rsidDel="00000000" w:rsidP="00000000" w:rsidRDefault="00000000" w:rsidRPr="00000000" w14:paraId="0000000C">
      <w:pPr>
        <w:pStyle w:val="Heading1"/>
        <w:spacing w:line="276" w:lineRule="auto"/>
        <w:rPr/>
      </w:pPr>
      <w:r w:rsidDel="00000000" w:rsidR="00000000" w:rsidRPr="00000000">
        <w:rPr>
          <w:sz w:val="24"/>
          <w:szCs w:val="24"/>
          <w:rtl w:val="0"/>
        </w:rPr>
        <w:tab/>
        <w:tab/>
        <w:t xml:space="preserve">  Universidad de la República -Facultad de Veterinaria </w:t>
      </w:r>
      <w:r w:rsidDel="00000000" w:rsidR="00000000" w:rsidRPr="00000000">
        <w:rPr>
          <w:rtl w:val="0"/>
        </w:rPr>
      </w:r>
    </w:p>
    <w:p w:rsidR="00000000" w:rsidDel="00000000" w:rsidP="00000000" w:rsidRDefault="00000000" w:rsidRPr="00000000" w14:paraId="0000000D">
      <w:pPr>
        <w:pStyle w:val="Heading1"/>
        <w:spacing w:line="360" w:lineRule="auto"/>
        <w:rPr/>
      </w:pPr>
      <w:r w:rsidDel="00000000" w:rsidR="00000000" w:rsidRPr="00000000">
        <w:rPr>
          <w:rFonts w:ascii="Aptos" w:cs="Aptos" w:eastAsia="Aptos" w:hAnsi="Aptos"/>
          <w:color w:val="007356"/>
          <w:sz w:val="24"/>
          <w:szCs w:val="24"/>
          <w:rtl w:val="0"/>
        </w:rPr>
        <w:t xml:space="preserve">AUSPICIA:</w:t>
      </w:r>
      <w:r w:rsidDel="00000000" w:rsidR="00000000" w:rsidRPr="00000000">
        <w:rPr>
          <w:rtl w:val="0"/>
        </w:rPr>
        <w:t xml:space="preserve">     </w:t>
      </w:r>
      <w:r w:rsidDel="00000000" w:rsidR="00000000" w:rsidRPr="00000000">
        <w:rPr>
          <w:sz w:val="24"/>
          <w:szCs w:val="24"/>
          <w:rtl w:val="0"/>
        </w:rPr>
        <w:t xml:space="preserve">Asociación de Universidades Grupo Montevideo (AUGM)</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165354</wp:posOffset>
            </wp:positionH>
            <wp:positionV relativeFrom="paragraph">
              <wp:posOffset>6134</wp:posOffset>
            </wp:positionV>
            <wp:extent cx="382270" cy="54165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82270" cy="541655"/>
                    </a:xfrm>
                    <a:prstGeom prst="rect"/>
                    <a:ln/>
                  </pic:spPr>
                </pic:pic>
              </a:graphicData>
            </a:graphic>
          </wp:anchor>
        </w:drawing>
      </w:r>
    </w:p>
    <w:p w:rsidR="00000000" w:rsidDel="00000000" w:rsidP="00000000" w:rsidRDefault="00000000" w:rsidRPr="00000000" w14:paraId="0000000F">
      <w:pPr>
        <w:rPr/>
      </w:pPr>
      <w:r w:rsidDel="00000000" w:rsidR="00000000" w:rsidRPr="00000000">
        <w:rPr>
          <w:rtl w:val="0"/>
        </w:rPr>
      </w:r>
    </w:p>
    <w:tbl>
      <w:tblPr>
        <w:tblStyle w:val="Table1"/>
        <w:tblW w:w="4536.0" w:type="dxa"/>
        <w:jc w:val="center"/>
        <w:tblLayout w:type="fixed"/>
        <w:tblLook w:val="0400"/>
      </w:tblPr>
      <w:tblGrid>
        <w:gridCol w:w="4536"/>
        <w:tblGridChange w:id="0">
          <w:tblGrid>
            <w:gridCol w:w="453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6fa" w:val="clear"/>
          </w:tcPr>
          <w:p w:rsidR="00000000" w:rsidDel="00000000" w:rsidP="00000000" w:rsidRDefault="00000000" w:rsidRPr="00000000" w14:paraId="00000010">
            <w:pPr>
              <w:jc w:val="center"/>
              <w:rPr/>
            </w:pPr>
            <w:r w:rsidDel="00000000" w:rsidR="00000000" w:rsidRPr="00000000">
              <w:rPr>
                <w:rtl w:val="0"/>
              </w:rPr>
            </w:r>
          </w:p>
        </w:tc>
      </w:tr>
    </w:tbl>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57" w:right="418" w:firstLine="0"/>
        <w:jc w:val="both"/>
        <w:rPr>
          <w:rFonts w:ascii="Play" w:cs="Play" w:eastAsia="Play" w:hAnsi="Play"/>
          <w:b w:val="0"/>
          <w:bCs w:val="0"/>
          <w:i w:val="0"/>
          <w:iCs w:val="0"/>
          <w:smallCaps w:val="0"/>
          <w:strike w:val="0"/>
          <w:color w:val="000000"/>
          <w:sz w:val="20"/>
          <w:szCs w:val="20"/>
          <w:u w:val="none"/>
          <w:shd w:fill="auto" w:val="clear"/>
          <w:vertAlign w:val="baseline"/>
        </w:rPr>
      </w:pPr>
      <w:r w:rsidDel="00000000" w:rsidR="00000000" w:rsidRPr="00000000">
        <w:rPr>
          <w:rFonts w:ascii="Play" w:cs="Play" w:eastAsia="Play" w:hAnsi="Play"/>
          <w:b w:val="0"/>
          <w:bCs w:val="0"/>
          <w:i w:val="0"/>
          <w:iCs w:val="0"/>
          <w:smallCaps w:val="0"/>
          <w:strike w:val="0"/>
          <w:color w:val="000000"/>
          <w:sz w:val="20"/>
          <w:szCs w:val="20"/>
          <w:u w:val="none"/>
          <w:shd w:fill="auto" w:val="clear"/>
          <w:vertAlign w:val="baseline"/>
          <w:rtl w:val="0"/>
        </w:rPr>
        <w:t xml:space="preserve">La RED-DEES, creada en el 2009 en la Universidad de La Habana, está constituida actualmente por más de 54 universidades miembros de 11 países de América Latina y el Caribe y se orienta al desarrollo de variadas líneas de trabajo relacionadas con la gestión universitaria. Tiene como misión:</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360" w:lineRule="auto"/>
        <w:ind w:left="340" w:right="418" w:firstLine="0"/>
        <w:jc w:val="both"/>
        <w:rPr>
          <w:rFonts w:ascii="Play" w:cs="Play" w:eastAsia="Play" w:hAnsi="Play"/>
          <w:b w:val="0"/>
          <w:bCs w:val="0"/>
          <w:i w:val="0"/>
          <w:iCs w:val="0"/>
          <w:smallCaps w:val="0"/>
          <w:strike w:val="0"/>
          <w:color w:val="000000"/>
          <w:sz w:val="20"/>
          <w:szCs w:val="20"/>
          <w:u w:val="none"/>
          <w:shd w:fill="auto" w:val="clear"/>
          <w:vertAlign w:val="baseline"/>
        </w:rPr>
      </w:pPr>
      <w:r w:rsidDel="00000000" w:rsidR="00000000" w:rsidRPr="00000000">
        <w:rPr>
          <w:rFonts w:ascii="Play" w:cs="Play" w:eastAsia="Play" w:hAnsi="Play"/>
          <w:b w:val="0"/>
          <w:bCs w:val="0"/>
          <w:i w:val="0"/>
          <w:iCs w:val="0"/>
          <w:smallCaps w:val="0"/>
          <w:strike w:val="0"/>
          <w:color w:val="000000"/>
          <w:sz w:val="20"/>
          <w:szCs w:val="20"/>
          <w:u w:val="none"/>
          <w:shd w:fill="auto" w:val="clear"/>
          <w:vertAlign w:val="baseline"/>
          <w:rtl w:val="0"/>
        </w:rPr>
        <w:t xml:space="preserve">Contribuir a la promoción, estimulación y fomento de la investigación, el posgrado y otras actividades académicas sobre temas y experiencia de interés común en dicha área, mediante un mecanismo de diálogo, intercambio y cooperación multilateral entre sus miembros, con el fin de elevar la calidad y pertinencia de la gestión institucional y de los procesos universitarios y responder, favorablemente, a las necesidades de la sociedad.</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360" w:lineRule="auto"/>
        <w:ind w:left="57" w:right="502" w:firstLine="0"/>
        <w:jc w:val="both"/>
        <w:rPr>
          <w:rFonts w:ascii="Play" w:cs="Play" w:eastAsia="Play" w:hAnsi="Play"/>
          <w:b w:val="0"/>
          <w:bCs w:val="0"/>
          <w:i w:val="0"/>
          <w:iCs w:val="0"/>
          <w:smallCaps w:val="0"/>
          <w:strike w:val="0"/>
          <w:color w:val="000000"/>
          <w:sz w:val="20"/>
          <w:szCs w:val="20"/>
          <w:u w:val="none"/>
          <w:shd w:fill="auto" w:val="clear"/>
          <w:vertAlign w:val="baseline"/>
        </w:rPr>
      </w:pPr>
      <w:r w:rsidDel="00000000" w:rsidR="00000000" w:rsidRPr="00000000">
        <w:rPr>
          <w:rFonts w:ascii="Play" w:cs="Play" w:eastAsia="Play" w:hAnsi="Play"/>
          <w:b w:val="0"/>
          <w:bCs w:val="0"/>
          <w:i w:val="0"/>
          <w:iCs w:val="0"/>
          <w:smallCaps w:val="0"/>
          <w:strike w:val="0"/>
          <w:color w:val="000000"/>
          <w:sz w:val="20"/>
          <w:szCs w:val="20"/>
          <w:u w:val="none"/>
          <w:shd w:fill="auto" w:val="clear"/>
          <w:vertAlign w:val="baseline"/>
          <w:rtl w:val="0"/>
        </w:rPr>
        <w:t xml:space="preserve">Entre sus objetivos, se encuentran contribuir al perfeccionamiento de la gestión universitaria, a través del desarrollo de investigaciones, estudios, actividades de posgrado y experiencias institucionales vinculadas con los procesos que la integran y propiciar las diferentes formas de intercambio de información entre los miembros y con otras instituciones universitarias.</w:t>
      </w:r>
    </w:p>
    <w:p w:rsidR="00000000" w:rsidDel="00000000" w:rsidP="00000000" w:rsidRDefault="00000000" w:rsidRPr="00000000" w14:paraId="00000014">
      <w:pPr>
        <w:spacing w:before="182" w:line="360" w:lineRule="auto"/>
        <w:ind w:left="57" w:right="417" w:firstLine="0"/>
        <w:jc w:val="both"/>
        <w:rPr>
          <w:rFonts w:ascii="Play" w:cs="Play" w:eastAsia="Play" w:hAnsi="Play"/>
          <w:b w:val="1"/>
          <w:bCs w:val="1"/>
          <w:sz w:val="20"/>
          <w:szCs w:val="20"/>
        </w:rPr>
      </w:pPr>
      <w:r w:rsidDel="00000000" w:rsidR="00000000" w:rsidRPr="00000000">
        <w:rPr>
          <w:rFonts w:ascii="Play" w:cs="Play" w:eastAsia="Play" w:hAnsi="Play"/>
          <w:b w:val="1"/>
          <w:bCs w:val="1"/>
          <w:sz w:val="20"/>
          <w:szCs w:val="20"/>
          <w:rtl w:val="0"/>
        </w:rPr>
        <w:t xml:space="preserve">El Congreso se desarrollará los días 20 y el 21 de octubre de 2026 en el marco de la XVI Reunión Internacional de la RED-DEES, que se celebrará del 19 al 23 de octubre en la Universidad de la República, Montevideo, Uruguay.</w:t>
      </w:r>
    </w:p>
    <w:p w:rsidR="00000000" w:rsidDel="00000000" w:rsidP="00000000" w:rsidRDefault="00000000" w:rsidRPr="00000000" w14:paraId="00000015">
      <w:pPr>
        <w:spacing w:before="182" w:line="360" w:lineRule="auto"/>
        <w:ind w:left="57" w:right="417" w:firstLine="0"/>
        <w:jc w:val="both"/>
        <w:rPr>
          <w:rFonts w:ascii="Play" w:cs="Play" w:eastAsia="Play" w:hAnsi="Play"/>
          <w:b w:val="1"/>
          <w:bCs w:val="1"/>
          <w:sz w:val="20"/>
          <w:szCs w:val="20"/>
        </w:rPr>
      </w:pPr>
      <w:r w:rsidDel="00000000" w:rsidR="00000000" w:rsidRPr="00000000">
        <w:rPr>
          <w:rtl w:val="0"/>
        </w:rPr>
      </w:r>
    </w:p>
    <w:p w:rsidR="00000000" w:rsidDel="00000000" w:rsidP="00000000" w:rsidRDefault="00000000" w:rsidRPr="00000000" w14:paraId="00000016">
      <w:pPr>
        <w:pBdr>
          <w:bottom w:color="007356" w:space="5" w:sz="10" w:val="single"/>
        </w:pBdr>
        <w:spacing w:after="120" w:before="100" w:lineRule="auto"/>
        <w:rPr/>
      </w:pPr>
      <w:r w:rsidDel="00000000" w:rsidR="00000000" w:rsidRPr="00000000">
        <w:rPr>
          <w:rFonts w:ascii="Play" w:cs="Play" w:eastAsia="Play" w:hAnsi="Play"/>
          <w:b w:val="1"/>
          <w:bCs w:val="1"/>
          <w:color w:val="007356"/>
          <w:sz w:val="26"/>
          <w:szCs w:val="26"/>
          <w:rtl w:val="0"/>
        </w:rPr>
        <w:t xml:space="preserve">OBJETIVO Y PARTICIPACIÓN</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418"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El magno evento que se convoca tiene el objetivo de promover el diálogo y el intercambio entre los actores participantes mediante la postulación de ponencias sobre un conjunto de temáticas universitarias relevantes relacionadas con la gestión universitaria y propiciar el análisis de posibles soluciones a problemas prioritarios que existen actualmente en las IES de la región latinoamericanas y caribeñas.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360" w:lineRule="auto"/>
        <w:ind w:left="57" w:right="424"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Podrán participar profesores, investigadores y directivos de instituciones educativas, así como de otras organizaciones relacionadas con la educación superior.</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360" w:lineRule="auto"/>
        <w:ind w:left="57" w:right="424"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pBdr>
          <w:bottom w:color="007356" w:space="5" w:sz="10" w:val="single"/>
        </w:pBdr>
        <w:spacing w:after="120" w:before="100" w:lineRule="auto"/>
        <w:rPr/>
      </w:pPr>
      <w:r w:rsidDel="00000000" w:rsidR="00000000" w:rsidRPr="00000000">
        <w:rPr>
          <w:rFonts w:ascii="Play" w:cs="Play" w:eastAsia="Play" w:hAnsi="Play"/>
          <w:b w:val="1"/>
          <w:bCs w:val="1"/>
          <w:color w:val="007356"/>
          <w:sz w:val="26"/>
          <w:szCs w:val="26"/>
          <w:rtl w:val="0"/>
        </w:rPr>
        <w:t xml:space="preserve">TEMAS CENTRALES</w:t>
      </w: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4"/>
        </w:tabs>
        <w:spacing w:after="0" w:before="212" w:line="240" w:lineRule="auto"/>
        <w:ind w:left="484" w:right="0" w:hanging="427"/>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Gestión universitaria y desarrollo sostenible.</w:t>
      </w:r>
    </w:p>
    <w:p w:rsidR="00000000" w:rsidDel="00000000" w:rsidP="00000000" w:rsidRDefault="00000000" w:rsidRPr="00000000" w14:paraId="0000001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4"/>
        </w:tabs>
        <w:spacing w:after="0" w:before="127" w:line="240" w:lineRule="auto"/>
        <w:ind w:left="484" w:right="0" w:hanging="427"/>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Gestión universitaria ante los desafíos sociales.</w:t>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4"/>
        </w:tabs>
        <w:spacing w:after="0" w:before="126" w:line="240" w:lineRule="auto"/>
        <w:ind w:left="484" w:right="0" w:hanging="427"/>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Gestión universitaria y el desarrollo local.</w:t>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4"/>
        </w:tabs>
        <w:spacing w:after="0" w:before="126" w:line="240" w:lineRule="auto"/>
        <w:ind w:left="484" w:right="0" w:hanging="427"/>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Prospectiva en la educación superior.</w:t>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4"/>
        </w:tabs>
        <w:spacing w:after="0" w:before="126" w:line="240" w:lineRule="auto"/>
        <w:ind w:left="484" w:right="0" w:hanging="427"/>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Dirección estratégica en las IES.</w:t>
      </w:r>
    </w:p>
    <w:p w:rsidR="00000000" w:rsidDel="00000000" w:rsidP="00000000" w:rsidRDefault="00000000" w:rsidRPr="00000000" w14:paraId="0000002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4"/>
        </w:tabs>
        <w:spacing w:after="0" w:before="127" w:line="240" w:lineRule="auto"/>
        <w:ind w:left="484" w:right="0" w:hanging="427"/>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Control y alineamiento estratégico en las IES.</w:t>
      </w:r>
    </w:p>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4"/>
        </w:tabs>
        <w:spacing w:after="0" w:before="128" w:line="240" w:lineRule="auto"/>
        <w:ind w:left="484" w:right="0" w:hanging="427"/>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Estudios comparados sobre la gestión universitaria en las IES.</w:t>
      </w:r>
    </w:p>
    <w:p w:rsidR="00000000" w:rsidDel="00000000" w:rsidP="00000000" w:rsidRDefault="00000000" w:rsidRPr="00000000" w14:paraId="0000002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4"/>
        </w:tabs>
        <w:spacing w:after="0" w:before="126" w:line="240" w:lineRule="auto"/>
        <w:ind w:left="484" w:right="0" w:hanging="427"/>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Gestión de riesgos en las IES.</w:t>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4"/>
        </w:tabs>
        <w:spacing w:after="0" w:before="127" w:line="240" w:lineRule="auto"/>
        <w:ind w:left="484" w:right="0" w:hanging="427"/>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Sistemas de información de apoyo a la gestión universitaria.</w:t>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2"/>
        </w:tabs>
        <w:spacing w:after="0" w:before="126" w:line="240" w:lineRule="auto"/>
        <w:ind w:left="482" w:right="0" w:hanging="425"/>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Transformación digital y gestión universitaria.</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2"/>
        </w:tabs>
        <w:spacing w:after="0" w:before="126" w:line="240" w:lineRule="auto"/>
        <w:ind w:left="482" w:right="0" w:hanging="425"/>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Gestión de la calidad en la educación superior.</w:t>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2"/>
        </w:tabs>
        <w:spacing w:after="0" w:before="127" w:line="240" w:lineRule="auto"/>
        <w:ind w:left="482" w:right="0" w:hanging="425"/>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Calidad y rankings globales y nacionales universitarios.</w:t>
      </w:r>
    </w:p>
    <w:p w:rsidR="00000000" w:rsidDel="00000000" w:rsidP="00000000" w:rsidRDefault="00000000" w:rsidRPr="00000000" w14:paraId="0000002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2"/>
        </w:tabs>
        <w:spacing w:after="0" w:before="126" w:line="240" w:lineRule="auto"/>
        <w:ind w:left="482" w:right="0" w:hanging="425"/>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Gestión del posgrado, la investigación y la extensión universitaria en las IES.</w:t>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2"/>
        </w:tabs>
        <w:spacing w:after="0" w:before="126" w:line="240" w:lineRule="auto"/>
        <w:ind w:left="482" w:right="0" w:hanging="425"/>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Gestión de impactos en las IES.</w:t>
      </w:r>
    </w:p>
    <w:p w:rsidR="00000000" w:rsidDel="00000000" w:rsidP="00000000" w:rsidRDefault="00000000" w:rsidRPr="00000000" w14:paraId="0000002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2"/>
        </w:tabs>
        <w:spacing w:after="0" w:before="126" w:line="240" w:lineRule="auto"/>
        <w:ind w:left="482" w:right="0" w:hanging="425"/>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Gestión del conocimiento en las IES.</w:t>
      </w:r>
    </w:p>
    <w:p w:rsidR="00000000" w:rsidDel="00000000" w:rsidP="00000000" w:rsidRDefault="00000000" w:rsidRPr="00000000" w14:paraId="0000002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2"/>
        </w:tabs>
        <w:spacing w:after="0" w:before="129" w:line="240" w:lineRule="auto"/>
        <w:ind w:left="482" w:right="0" w:hanging="425"/>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Ciencia e innovación en la gestión universitaria.</w:t>
      </w:r>
    </w:p>
    <w:p w:rsidR="00000000" w:rsidDel="00000000" w:rsidP="00000000" w:rsidRDefault="00000000" w:rsidRPr="00000000" w14:paraId="0000002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2"/>
        </w:tabs>
        <w:spacing w:after="0" w:before="126" w:line="240" w:lineRule="auto"/>
        <w:ind w:left="482" w:right="0" w:hanging="425"/>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Inteligencia artificial en la gestión universitaria.</w:t>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2"/>
        </w:tabs>
        <w:spacing w:after="0" w:before="126" w:line="240" w:lineRule="auto"/>
        <w:ind w:left="482" w:right="0" w:hanging="425"/>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Gestión del personal académico en las IES.</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1"/>
          <w:tab w:val="left" w:leader="none" w:pos="484"/>
        </w:tabs>
        <w:spacing w:after="0" w:before="127" w:line="360" w:lineRule="auto"/>
        <w:ind w:left="484" w:right="420" w:hanging="428"/>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Gestión de la internacionalización de la educación superior y redes académicas en el ámbito de la gestión universitaria.</w:t>
      </w:r>
    </w:p>
    <w:p w:rsidR="00000000" w:rsidDel="00000000" w:rsidP="00000000" w:rsidRDefault="00000000" w:rsidRPr="00000000" w14:paraId="0000002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2"/>
        </w:tabs>
        <w:spacing w:after="0" w:before="0" w:line="252.00000000000003" w:lineRule="auto"/>
        <w:ind w:left="482" w:right="0" w:hanging="425"/>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Programas de capacitación vinculados con la gestión universitaria.</w:t>
      </w:r>
    </w:p>
    <w:p w:rsidR="00000000" w:rsidDel="00000000" w:rsidP="00000000" w:rsidRDefault="00000000" w:rsidRPr="00000000" w14:paraId="0000002F">
      <w:pPr>
        <w:pBdr>
          <w:bottom w:color="007356" w:space="5" w:sz="10" w:val="single"/>
        </w:pBdr>
        <w:spacing w:after="120" w:before="100" w:lineRule="auto"/>
        <w:rPr>
          <w:rFonts w:ascii="Play" w:cs="Play" w:eastAsia="Play" w:hAnsi="Play"/>
          <w:b w:val="1"/>
          <w:bCs w:val="1"/>
          <w:color w:val="007356"/>
          <w:sz w:val="26"/>
          <w:szCs w:val="26"/>
        </w:rPr>
      </w:pPr>
      <w:r w:rsidDel="00000000" w:rsidR="00000000" w:rsidRPr="00000000">
        <w:rPr>
          <w:rtl w:val="0"/>
        </w:rPr>
      </w:r>
    </w:p>
    <w:p w:rsidR="00000000" w:rsidDel="00000000" w:rsidP="00000000" w:rsidRDefault="00000000" w:rsidRPr="00000000" w14:paraId="00000030">
      <w:pPr>
        <w:pBdr>
          <w:bottom w:color="007356" w:space="5" w:sz="10" w:val="single"/>
        </w:pBdr>
        <w:spacing w:after="120" w:before="100" w:lineRule="auto"/>
        <w:rPr/>
      </w:pPr>
      <w:r w:rsidDel="00000000" w:rsidR="00000000" w:rsidRPr="00000000">
        <w:rPr>
          <w:rFonts w:ascii="Play" w:cs="Play" w:eastAsia="Play" w:hAnsi="Play"/>
          <w:b w:val="1"/>
          <w:bCs w:val="1"/>
          <w:color w:val="007356"/>
          <w:sz w:val="26"/>
          <w:szCs w:val="26"/>
          <w:rtl w:val="0"/>
        </w:rPr>
        <w:t xml:space="preserve">NORMAS DE PRESENTACIÓN DE PONENCIAS</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both"/>
        <w:rPr>
          <w:rFonts w:ascii="Cambria Math" w:cs="Cambria Math" w:eastAsia="Cambria Math" w:hAnsi="Cambria Math"/>
          <w:b w:val="1"/>
          <w:bCs w:val="1"/>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424"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Los trabajos deben ser originales y no haber sido presentados en congresos o eventos, ni publicados en revistas nacionales o extranjeras con anterioridad a la realización de este Congreso. En su elaboración, no podrán intervenir más de tres autores.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360" w:lineRule="auto"/>
        <w:ind w:left="57" w:right="418"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Se presentarán en Word, letra Arial, tamaño 11 puntos, interlineado 2,0 puntos, con espacio entre párrafos de 8 a 10 líneas, márgenes de 2.54 cm. por cada lado y formato de papel Carta. Deberán tener numeradas todas sus páginas a partir de la introducción, colocando en la alineación derecha inferior, los números. El texto deberá estar justificado. El cuerpo de la ponencia tendrá una extensión mínima de 10 páginas y máxima de 15; se utilizarán negritas o subrayados según sea necesario, siguiendo las normas APA 7ma edición (2019), para su conformación. En este límite de extensión, no se incluyen el resumen y la sección de referencias. Se utilizará la </w:t>
      </w:r>
      <w:r w:rsidDel="00000000" w:rsidR="00000000" w:rsidRPr="00000000">
        <w:rPr>
          <w:rFonts w:ascii="Cambria Math" w:cs="Cambria Math" w:eastAsia="Cambria Math" w:hAnsi="Cambria Math"/>
          <w:b w:val="0"/>
          <w:bCs w:val="0"/>
          <w:i w:val="1"/>
          <w:iCs w:val="1"/>
          <w:smallCaps w:val="0"/>
          <w:strike w:val="0"/>
          <w:color w:val="000000"/>
          <w:sz w:val="22"/>
          <w:szCs w:val="22"/>
          <w:u w:val="none"/>
          <w:shd w:fill="auto" w:val="clear"/>
          <w:vertAlign w:val="baseline"/>
          <w:rtl w:val="0"/>
        </w:rPr>
        <w:t xml:space="preserve">cursiva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para resaltar algún término o concepto, las palabras en idioma diferente al español, los títulos de libros y las revistas. No se aceptan oraciones o palabras destacadas con letra mayúscula. Las siglas utilizadas deben aparecer, la primera vez, entre paréntesis, después del término al que se refieren. Las notas se localizan al pie de página, deben estar numeradas con números arábigos y tener una extensión de hasta 60 palabras.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360" w:lineRule="auto"/>
        <w:ind w:left="57" w:right="418"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pBdr>
          <w:bottom w:color="007356" w:space="5" w:sz="10" w:val="single"/>
        </w:pBdr>
        <w:spacing w:after="120" w:before="100" w:lineRule="auto"/>
        <w:rPr>
          <w:rFonts w:ascii="Play" w:cs="Play" w:eastAsia="Play" w:hAnsi="Play"/>
          <w:b w:val="1"/>
          <w:bCs w:val="1"/>
          <w:color w:val="007356"/>
          <w:sz w:val="26"/>
          <w:szCs w:val="26"/>
        </w:rPr>
      </w:pPr>
      <w:r w:rsidDel="00000000" w:rsidR="00000000" w:rsidRPr="00000000">
        <w:rPr>
          <w:rFonts w:ascii="Play" w:cs="Play" w:eastAsia="Play" w:hAnsi="Play"/>
          <w:b w:val="1"/>
          <w:bCs w:val="1"/>
          <w:color w:val="007356"/>
          <w:sz w:val="26"/>
          <w:szCs w:val="26"/>
          <w:rtl w:val="0"/>
        </w:rPr>
        <w:t xml:space="preserve">ESTRUCTURA</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both"/>
        <w:rPr>
          <w:rFonts w:ascii="Cambria Math" w:cs="Cambria Math" w:eastAsia="Cambria Math" w:hAnsi="Cambria Math"/>
          <w:b w:val="1"/>
          <w:bCs w:val="1"/>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57" w:right="424"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Play" w:cs="Play" w:eastAsia="Play" w:hAnsi="Play"/>
          <w:b w:val="1"/>
          <w:bCs w:val="1"/>
          <w:i w:val="0"/>
          <w:iCs w:val="0"/>
          <w:smallCaps w:val="0"/>
          <w:strike w:val="0"/>
          <w:color w:val="007356"/>
          <w:sz w:val="22"/>
          <w:szCs w:val="22"/>
          <w:u w:val="none"/>
          <w:shd w:fill="auto" w:val="clear"/>
          <w:vertAlign w:val="baseline"/>
          <w:rtl w:val="0"/>
        </w:rPr>
        <w:t xml:space="preserve">Título:</w:t>
      </w:r>
      <w:r w:rsidDel="00000000" w:rsidR="00000000" w:rsidRPr="00000000">
        <w:rPr>
          <w:rFonts w:ascii="Cambria Math" w:cs="Cambria Math" w:eastAsia="Cambria Math" w:hAnsi="Cambria Math"/>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máximo de 12 palabras, sintético, claro y atractivo, en idioma español e inglés, en mayúscula.</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362" w:lineRule="auto"/>
        <w:ind w:left="57" w:right="416"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Play" w:cs="Play" w:eastAsia="Play" w:hAnsi="Play"/>
          <w:b w:val="1"/>
          <w:bCs w:val="1"/>
          <w:i w:val="0"/>
          <w:iCs w:val="0"/>
          <w:smallCaps w:val="0"/>
          <w:strike w:val="0"/>
          <w:color w:val="007356"/>
          <w:sz w:val="22"/>
          <w:szCs w:val="22"/>
          <w:u w:val="none"/>
          <w:shd w:fill="auto" w:val="clear"/>
          <w:vertAlign w:val="baseline"/>
          <w:rtl w:val="0"/>
        </w:rPr>
        <w:t xml:space="preserve">Autores:</w:t>
      </w:r>
      <w:r w:rsidDel="00000000" w:rsidR="00000000" w:rsidRPr="00000000">
        <w:rPr>
          <w:rFonts w:ascii="Cambria Math" w:cs="Cambria Math" w:eastAsia="Cambria Math" w:hAnsi="Cambria Math"/>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(no más de tres, reflejando la institución a la que pertenecen, país de procedencia y correos electrónicos).</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62" w:lineRule="auto"/>
        <w:ind w:left="57" w:right="424"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Play" w:cs="Play" w:eastAsia="Play" w:hAnsi="Play"/>
          <w:b w:val="1"/>
          <w:bCs w:val="1"/>
          <w:i w:val="0"/>
          <w:iCs w:val="0"/>
          <w:smallCaps w:val="0"/>
          <w:strike w:val="0"/>
          <w:color w:val="007356"/>
          <w:sz w:val="22"/>
          <w:szCs w:val="22"/>
          <w:u w:val="none"/>
          <w:shd w:fill="auto" w:val="clear"/>
          <w:vertAlign w:val="baseline"/>
          <w:rtl w:val="0"/>
        </w:rPr>
        <w:t xml:space="preserve">Resumen del trabajo:</w:t>
      </w:r>
      <w:r w:rsidDel="00000000" w:rsidR="00000000" w:rsidRPr="00000000">
        <w:rPr>
          <w:rFonts w:ascii="Cambria Math" w:cs="Cambria Math" w:eastAsia="Cambria Math" w:hAnsi="Cambria Math"/>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313131"/>
          <w:sz w:val="22"/>
          <w:szCs w:val="22"/>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en un solo párrafo, donde se destaque el problema, el objetivo de la ponencia, los métodos empleados, los principales resultados y la conclusión principal, con su correspondiente traducción a idioma inglés. No excederá las 250 palabras, sin citas ni siglas, redactándose en pretérito.</w:t>
      </w:r>
    </w:p>
    <w:p w:rsidR="00000000" w:rsidDel="00000000" w:rsidP="00000000" w:rsidRDefault="00000000" w:rsidRPr="00000000" w14:paraId="0000003A">
      <w:pPr>
        <w:spacing w:before="35" w:lineRule="auto"/>
        <w:ind w:left="57" w:firstLine="0"/>
        <w:jc w:val="both"/>
        <w:rPr>
          <w:rFonts w:ascii="Cambria Math" w:cs="Cambria Math" w:eastAsia="Cambria Math" w:hAnsi="Cambria Math"/>
        </w:rPr>
      </w:pPr>
      <w:r w:rsidDel="00000000" w:rsidR="00000000" w:rsidRPr="00000000">
        <w:rPr>
          <w:rFonts w:ascii="Play" w:cs="Play" w:eastAsia="Play" w:hAnsi="Play"/>
          <w:b w:val="1"/>
          <w:bCs w:val="1"/>
          <w:color w:val="007356"/>
          <w:rtl w:val="0"/>
        </w:rPr>
        <w:t xml:space="preserve">Palabras clave:</w:t>
      </w:r>
      <w:r w:rsidDel="00000000" w:rsidR="00000000" w:rsidRPr="00000000">
        <w:rPr>
          <w:rFonts w:ascii="Cambria Math" w:cs="Cambria Math" w:eastAsia="Cambria Math" w:hAnsi="Cambria Math"/>
          <w:b w:val="1"/>
          <w:bCs w:val="1"/>
          <w:rtl w:val="0"/>
        </w:rPr>
        <w:t xml:space="preserve"> </w:t>
      </w:r>
      <w:r w:rsidDel="00000000" w:rsidR="00000000" w:rsidRPr="00000000">
        <w:rPr>
          <w:rFonts w:ascii="Cambria Math" w:cs="Cambria Math" w:eastAsia="Cambria Math" w:hAnsi="Cambria Math"/>
          <w:rtl w:val="0"/>
        </w:rPr>
        <w:t xml:space="preserve">(hasta cinco</w:t>
      </w:r>
      <w:r w:rsidDel="00000000" w:rsidR="00000000" w:rsidRPr="00000000">
        <w:rPr>
          <w:rFonts w:ascii="Cambria Math" w:cs="Cambria Math" w:eastAsia="Cambria Math" w:hAnsi="Cambria Math"/>
          <w:color w:val="313131"/>
          <w:rtl w:val="0"/>
        </w:rPr>
        <w:t xml:space="preserve">)</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360" w:lineRule="auto"/>
        <w:ind w:left="57" w:right="421"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Play" w:cs="Play" w:eastAsia="Play" w:hAnsi="Play"/>
          <w:b w:val="1"/>
          <w:bCs w:val="1"/>
          <w:i w:val="0"/>
          <w:iCs w:val="0"/>
          <w:smallCaps w:val="0"/>
          <w:strike w:val="0"/>
          <w:color w:val="007356"/>
          <w:sz w:val="22"/>
          <w:szCs w:val="22"/>
          <w:u w:val="none"/>
          <w:shd w:fill="auto" w:val="clear"/>
          <w:vertAlign w:val="baseline"/>
          <w:rtl w:val="0"/>
        </w:rPr>
        <w:t xml:space="preserve">Introducción:</w:t>
      </w:r>
      <w:r w:rsidDel="00000000" w:rsidR="00000000" w:rsidRPr="00000000">
        <w:rPr>
          <w:rFonts w:ascii="Cambria Math" w:cs="Cambria Math" w:eastAsia="Cambria Math" w:hAnsi="Cambria Math"/>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Incluye el trasfondo del tema, el por qué y para qué de la investigación o estudio realizado (importancia y el conocimiento actual del tema, algunos antecedentes, la situación problemática, el objetivo(s) de la ponencia y otros elementos necesarios, puede incluir citas y referencias de diferentes autores). No deberá exceder de dos páginas.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362" w:lineRule="auto"/>
        <w:ind w:left="57" w:right="423"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Play" w:cs="Play" w:eastAsia="Play" w:hAnsi="Play"/>
          <w:b w:val="1"/>
          <w:bCs w:val="1"/>
          <w:i w:val="0"/>
          <w:iCs w:val="0"/>
          <w:smallCaps w:val="0"/>
          <w:strike w:val="0"/>
          <w:color w:val="007356"/>
          <w:sz w:val="22"/>
          <w:szCs w:val="22"/>
          <w:u w:val="none"/>
          <w:shd w:fill="auto" w:val="clear"/>
          <w:vertAlign w:val="baseline"/>
          <w:rtl w:val="0"/>
        </w:rPr>
        <w:t xml:space="preserve">Desarrollo:</w:t>
      </w:r>
      <w:r w:rsidDel="00000000" w:rsidR="00000000" w:rsidRPr="00000000">
        <w:rPr>
          <w:rFonts w:ascii="Cambria Math" w:cs="Cambria Math" w:eastAsia="Cambria Math" w:hAnsi="Cambria Math"/>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Contendrá los elementos esenciales de la ponencia, organizados por epígrafes y sub epígrafes (se identificarán con números en negrita). La ponencia debe incluir la revisión de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360" w:lineRule="auto"/>
        <w:ind w:left="57" w:right="423"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la literatura, donde se profundice en los fundamentos teóricos del tema tratado, así como los principales hallazgos, apoyados dentro texto con ilustraciones, tablas o figuras si son necesarios. La redacción en esta sección es en tiempo presente.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362" w:lineRule="auto"/>
        <w:ind w:left="57" w:right="425"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Play" w:cs="Play" w:eastAsia="Play" w:hAnsi="Play"/>
          <w:b w:val="1"/>
          <w:bCs w:val="1"/>
          <w:i w:val="0"/>
          <w:iCs w:val="0"/>
          <w:smallCaps w:val="0"/>
          <w:strike w:val="0"/>
          <w:color w:val="007356"/>
          <w:sz w:val="22"/>
          <w:szCs w:val="22"/>
          <w:u w:val="none"/>
          <w:shd w:fill="auto" w:val="clear"/>
          <w:vertAlign w:val="baseline"/>
          <w:rtl w:val="0"/>
        </w:rPr>
        <w:t xml:space="preserve">Conclusiones:</w:t>
      </w:r>
      <w:r w:rsidDel="00000000" w:rsidR="00000000" w:rsidRPr="00000000">
        <w:rPr>
          <w:rFonts w:ascii="Cambria Math" w:cs="Cambria Math" w:eastAsia="Cambria Math" w:hAnsi="Cambria Math"/>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Deberán expresar los resultados más relevantes que den respuesta a los objetivos planteados. (máximo una página en forma de párrafos)</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362" w:lineRule="auto"/>
        <w:ind w:left="57" w:right="425" w:firstLine="0"/>
        <w:jc w:val="both"/>
        <w:rPr>
          <w:rFonts w:ascii="Play" w:cs="Play" w:eastAsia="Play" w:hAnsi="Play"/>
          <w:b w:val="1"/>
          <w:bCs w:val="1"/>
          <w:i w:val="0"/>
          <w:iCs w:val="0"/>
          <w:smallCaps w:val="0"/>
          <w:strike w:val="0"/>
          <w:color w:val="007356"/>
          <w:sz w:val="22"/>
          <w:szCs w:val="22"/>
          <w:u w:val="none"/>
          <w:shd w:fill="auto" w:val="clear"/>
          <w:vertAlign w:val="baseline"/>
        </w:rPr>
      </w:pPr>
      <w:r w:rsidDel="00000000" w:rsidR="00000000" w:rsidRPr="00000000">
        <w:rPr>
          <w:rFonts w:ascii="Play" w:cs="Play" w:eastAsia="Play" w:hAnsi="Play"/>
          <w:b w:val="1"/>
          <w:bCs w:val="1"/>
          <w:i w:val="0"/>
          <w:iCs w:val="0"/>
          <w:smallCaps w:val="0"/>
          <w:strike w:val="0"/>
          <w:color w:val="007356"/>
          <w:sz w:val="22"/>
          <w:szCs w:val="22"/>
          <w:u w:val="none"/>
          <w:shd w:fill="auto" w:val="clear"/>
          <w:vertAlign w:val="baseline"/>
          <w:rtl w:val="0"/>
        </w:rPr>
        <w:t xml:space="preserve">Referencias bibliográficas:</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 Contiene las fuentes citadas en el texto según las normas internacionales APA 7ma edición (2019).</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362" w:lineRule="auto"/>
        <w:ind w:left="57" w:right="425"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Play" w:cs="Play" w:eastAsia="Play" w:hAnsi="Play"/>
          <w:b w:val="1"/>
          <w:bCs w:val="1"/>
          <w:i w:val="0"/>
          <w:iCs w:val="0"/>
          <w:smallCaps w:val="0"/>
          <w:strike w:val="0"/>
          <w:color w:val="007356"/>
          <w:sz w:val="22"/>
          <w:szCs w:val="22"/>
          <w:u w:val="none"/>
          <w:shd w:fill="auto" w:val="clear"/>
          <w:vertAlign w:val="baseline"/>
          <w:rtl w:val="0"/>
        </w:rPr>
        <w:t xml:space="preserve">Anexos:</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 Deberán aparecer al final y con las debidas referencias en el texto.</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pBdr>
          <w:bottom w:color="007356" w:space="5" w:sz="10" w:val="single"/>
        </w:pBdr>
        <w:spacing w:after="60" w:before="40" w:line="240" w:lineRule="auto"/>
        <w:rPr>
          <w:sz w:val="26"/>
          <w:szCs w:val="26"/>
        </w:rPr>
      </w:pPr>
      <w:r w:rsidDel="00000000" w:rsidR="00000000" w:rsidRPr="00000000">
        <w:rPr>
          <w:rFonts w:ascii="Play" w:cs="Play" w:eastAsia="Play" w:hAnsi="Play"/>
          <w:b w:val="1"/>
          <w:bCs w:val="1"/>
          <w:color w:val="007356"/>
          <w:sz w:val="26"/>
          <w:szCs w:val="26"/>
          <w:rtl w:val="0"/>
        </w:rPr>
        <w:t xml:space="preserve">PROCESO DE INSCRIPCIÓN Y PRESENTACIÓN DE PONENCIAS</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77"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77"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Los interesados en asistir o presentar ponencias deberán realizar su inscripción en el Congreso a través de</w:t>
      </w:r>
      <w:r w:rsidDel="00000000" w:rsidR="00000000" w:rsidRPr="00000000">
        <w:rPr>
          <w:rFonts w:ascii="Cambria Math" w:cs="Cambria Math" w:eastAsia="Cambria Math" w:hAnsi="Cambria Math"/>
          <w:b w:val="0"/>
          <w:bCs w:val="0"/>
          <w:i w:val="0"/>
          <w:iCs w:val="0"/>
          <w:smallCaps w:val="0"/>
          <w:strike w:val="0"/>
          <w:color w:val="2f5496"/>
          <w:sz w:val="22"/>
          <w:szCs w:val="22"/>
          <w:u w:val="none"/>
          <w:shd w:fill="auto" w:val="clear"/>
          <w:vertAlign w:val="baseline"/>
          <w:rtl w:val="0"/>
        </w:rPr>
        <w:t xml:space="preserve"> </w:t>
      </w:r>
      <w:hyperlink r:id="rId10">
        <w:r w:rsidDel="00000000" w:rsidR="00000000" w:rsidRPr="00000000">
          <w:rPr>
            <w:rFonts w:ascii="Cambria Math" w:cs="Cambria Math" w:eastAsia="Cambria Math" w:hAnsi="Cambria Math"/>
            <w:b w:val="1"/>
            <w:bCs w:val="1"/>
            <w:i w:val="0"/>
            <w:iCs w:val="0"/>
            <w:smallCaps w:val="0"/>
            <w:strike w:val="0"/>
            <w:color w:val="2f5496"/>
            <w:sz w:val="22"/>
            <w:szCs w:val="22"/>
            <w:u w:val="single"/>
            <w:shd w:fill="auto" w:val="clear"/>
            <w:vertAlign w:val="baseline"/>
            <w:rtl w:val="0"/>
          </w:rPr>
          <w:t xml:space="preserve">https://eventos.udelar.edu.uy/e/red-dees</w:t>
        </w:r>
      </w:hyperlink>
      <w:r w:rsidDel="00000000" w:rsidR="00000000" w:rsidRPr="00000000">
        <w:rPr>
          <w:rFonts w:ascii="Cambria Math" w:cs="Cambria Math" w:eastAsia="Cambria Math" w:hAnsi="Cambria Math"/>
          <w:b w:val="1"/>
          <w:bCs w:val="1"/>
          <w:i w:val="0"/>
          <w:iCs w:val="0"/>
          <w:smallCaps w:val="0"/>
          <w:strike w:val="0"/>
          <w:color w:val="171717"/>
          <w:sz w:val="22"/>
          <w:szCs w:val="22"/>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2"/>
          <w:szCs w:val="22"/>
          <w:u w:val="single"/>
          <w:shd w:fill="auto" w:val="clear"/>
          <w:vertAlign w:val="baseline"/>
          <w:rtl w:val="0"/>
        </w:rPr>
        <w:t xml:space="preserve">Menú Inscripción</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 – todos los asistentes a la Reunión de la Red deben inscribirse a través de la Sección “Inscripción” y completar el formulario habilitado). Para la presentación de ponencias, </w:t>
      </w:r>
      <w:r w:rsidDel="00000000" w:rsidR="00000000" w:rsidRPr="00000000">
        <w:rPr>
          <w:rFonts w:ascii="Cambria Math" w:cs="Cambria Math" w:eastAsia="Cambria Math" w:hAnsi="Cambria Math"/>
          <w:b w:val="0"/>
          <w:bCs w:val="0"/>
          <w:i w:val="0"/>
          <w:iCs w:val="0"/>
          <w:smallCaps w:val="0"/>
          <w:strike w:val="0"/>
          <w:color w:val="171717"/>
          <w:sz w:val="22"/>
          <w:szCs w:val="22"/>
          <w:u w:val="none"/>
          <w:shd w:fill="auto" w:val="clear"/>
          <w:vertAlign w:val="baseline"/>
          <w:rtl w:val="0"/>
        </w:rPr>
        <w:t xml:space="preserve">uno de los autores deberá registrase en la plataforma, ingresando en la Sección “Presentación de Ponencias” y después, al Menú “Convocatoria de Resumen” (que se destina para enviar las ponencias completas a partir de las indicaciones que le solicitan).</w:t>
      </w:r>
      <w:r w:rsidDel="00000000" w:rsidR="00000000" w:rsidRPr="00000000">
        <w:rPr>
          <w:rtl w:val="0"/>
        </w:rPr>
      </w:r>
    </w:p>
    <w:p w:rsidR="00000000" w:rsidDel="00000000" w:rsidP="00000000" w:rsidRDefault="00000000" w:rsidRPr="00000000" w14:paraId="00000045">
      <w:pPr>
        <w:pStyle w:val="Heading2"/>
        <w:spacing w:before="181" w:lineRule="auto"/>
        <w:jc w:val="both"/>
        <w:rPr>
          <w:color w:val="004f8a"/>
          <w:sz w:val="26"/>
          <w:szCs w:val="26"/>
        </w:rPr>
      </w:pPr>
      <w:r w:rsidDel="00000000" w:rsidR="00000000" w:rsidRPr="00000000">
        <w:rPr>
          <w:color w:val="004f8a"/>
          <w:sz w:val="26"/>
          <w:szCs w:val="26"/>
          <w:rtl w:val="0"/>
        </w:rPr>
        <w:t xml:space="preserve">Plazo: hasta el 20 de SETIEMBRE de 2026</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both"/>
        <w:rPr>
          <w:rFonts w:ascii="Cambria Math" w:cs="Cambria Math" w:eastAsia="Cambria Math" w:hAnsi="Cambria Math"/>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pBdr>
          <w:bottom w:color="007356" w:space="5" w:sz="10" w:val="single"/>
        </w:pBdr>
        <w:spacing w:after="60" w:before="40" w:line="240" w:lineRule="auto"/>
        <w:rPr>
          <w:rFonts w:ascii="Play" w:cs="Play" w:eastAsia="Play" w:hAnsi="Play"/>
          <w:b w:val="1"/>
          <w:bCs w:val="1"/>
          <w:color w:val="007356"/>
          <w:sz w:val="26"/>
          <w:szCs w:val="26"/>
        </w:rPr>
      </w:pPr>
      <w:r w:rsidDel="00000000" w:rsidR="00000000" w:rsidRPr="00000000">
        <w:rPr>
          <w:rFonts w:ascii="Play" w:cs="Play" w:eastAsia="Play" w:hAnsi="Play"/>
          <w:b w:val="1"/>
          <w:bCs w:val="1"/>
          <w:color w:val="007356"/>
          <w:sz w:val="26"/>
          <w:szCs w:val="26"/>
          <w:rtl w:val="0"/>
        </w:rPr>
        <w:t xml:space="preserve">EVALUACIÓN</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57" w:right="422"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Las propuestas de ponencias, serán analizadas por un Comité Científico, en la medida en que sean recibidas.</w:t>
      </w:r>
    </w:p>
    <w:p w:rsidR="00000000" w:rsidDel="00000000" w:rsidP="00000000" w:rsidRDefault="00000000" w:rsidRPr="00000000" w14:paraId="00000049">
      <w:pPr>
        <w:pBdr>
          <w:bottom w:color="007356" w:space="5" w:sz="10" w:val="single"/>
        </w:pBdr>
        <w:spacing w:after="60" w:before="40" w:line="240" w:lineRule="auto"/>
        <w:rPr>
          <w:rFonts w:ascii="Play" w:cs="Play" w:eastAsia="Play" w:hAnsi="Play"/>
          <w:b w:val="1"/>
          <w:bCs w:val="1"/>
          <w:color w:val="007356"/>
          <w:sz w:val="26"/>
          <w:szCs w:val="26"/>
        </w:rPr>
      </w:pPr>
      <w:r w:rsidDel="00000000" w:rsidR="00000000" w:rsidRPr="00000000">
        <w:rPr>
          <w:rFonts w:ascii="Play" w:cs="Play" w:eastAsia="Play" w:hAnsi="Play"/>
          <w:b w:val="1"/>
          <w:bCs w:val="1"/>
          <w:color w:val="007356"/>
          <w:sz w:val="26"/>
          <w:szCs w:val="26"/>
          <w:rtl w:val="0"/>
        </w:rPr>
        <w:t xml:space="preserve">NOTIFICACIÓN DE SELECCIÓN DE PONENCIAS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 w:line="360" w:lineRule="auto"/>
        <w:ind w:left="57" w:right="416"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Los proponentes recibirán respuestas por el Comité Científico -vía correo electrónico- a las personas autoras- en un plazo no mayor de 15 días de su aceptación o no.</w:t>
      </w:r>
    </w:p>
    <w:p w:rsidR="00000000" w:rsidDel="00000000" w:rsidP="00000000" w:rsidRDefault="00000000" w:rsidRPr="00000000" w14:paraId="0000004B">
      <w:pPr>
        <w:pBdr>
          <w:bottom w:color="007356" w:space="5" w:sz="10" w:val="single"/>
        </w:pBdr>
        <w:spacing w:after="60" w:before="40" w:line="240" w:lineRule="auto"/>
        <w:rPr>
          <w:rFonts w:ascii="Play" w:cs="Play" w:eastAsia="Play" w:hAnsi="Play"/>
          <w:b w:val="1"/>
          <w:bCs w:val="1"/>
          <w:color w:val="007356"/>
          <w:sz w:val="26"/>
          <w:szCs w:val="26"/>
        </w:rPr>
      </w:pPr>
      <w:r w:rsidDel="00000000" w:rsidR="00000000" w:rsidRPr="00000000">
        <w:rPr>
          <w:rFonts w:ascii="Play" w:cs="Play" w:eastAsia="Play" w:hAnsi="Play"/>
          <w:b w:val="1"/>
          <w:bCs w:val="1"/>
          <w:color w:val="007356"/>
          <w:sz w:val="26"/>
          <w:szCs w:val="26"/>
          <w:rtl w:val="0"/>
        </w:rPr>
        <w:t xml:space="preserve">PRESENTACIÓN DE PONENCIAS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360" w:lineRule="auto"/>
        <w:ind w:left="57" w:right="423"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Las ponencias aceptadas seleccionadas deberán ser presentadas, en forma oral, en la modalidad presencial, en un espacio de tiempo de 10 minutos. Los asistentes tendrán posibilidad de formular preguntas sobre cada una de las exposiciones.</w:t>
      </w:r>
    </w:p>
    <w:p w:rsidR="00000000" w:rsidDel="00000000" w:rsidP="00000000" w:rsidRDefault="00000000" w:rsidRPr="00000000" w14:paraId="0000004D">
      <w:pPr>
        <w:pBdr>
          <w:bottom w:color="007356" w:space="5" w:sz="10" w:val="single"/>
        </w:pBdr>
        <w:spacing w:after="60" w:before="40" w:line="240" w:lineRule="auto"/>
        <w:rPr>
          <w:rFonts w:ascii="Play" w:cs="Play" w:eastAsia="Play" w:hAnsi="Play"/>
          <w:b w:val="1"/>
          <w:bCs w:val="1"/>
          <w:color w:val="007356"/>
          <w:sz w:val="26"/>
          <w:szCs w:val="26"/>
        </w:rPr>
      </w:pPr>
      <w:r w:rsidDel="00000000" w:rsidR="00000000" w:rsidRPr="00000000">
        <w:rPr>
          <w:rFonts w:ascii="Play" w:cs="Play" w:eastAsia="Play" w:hAnsi="Play"/>
          <w:b w:val="1"/>
          <w:bCs w:val="1"/>
          <w:color w:val="007356"/>
          <w:sz w:val="26"/>
          <w:szCs w:val="26"/>
          <w:rtl w:val="0"/>
        </w:rPr>
        <w:t xml:space="preserve">OTRAS ACTIVIDADES ESPECIALES DEL CONGRESO</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both"/>
        <w:rPr>
          <w:rFonts w:ascii="Cambria Math" w:cs="Cambria Math" w:eastAsia="Cambria Math" w:hAnsi="Cambria Math"/>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39"/>
        </w:tabs>
        <w:spacing w:after="0" w:before="0" w:line="240" w:lineRule="auto"/>
        <w:ind w:left="339" w:right="0" w:hanging="282"/>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Conferencia magistral del Congreso.</w:t>
      </w:r>
    </w:p>
    <w:p w:rsidR="00000000" w:rsidDel="00000000" w:rsidP="00000000" w:rsidRDefault="00000000" w:rsidRPr="00000000" w14:paraId="0000005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39"/>
        </w:tabs>
        <w:spacing w:after="0" w:before="196" w:line="240" w:lineRule="auto"/>
        <w:ind w:left="339" w:right="0" w:hanging="282"/>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Seminarios y otras actividades asociadas al evento.</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pBdr>
          <w:bottom w:color="007356" w:space="5" w:sz="10" w:val="single"/>
        </w:pBdr>
        <w:spacing w:after="60" w:before="40" w:line="240" w:lineRule="auto"/>
        <w:rPr>
          <w:sz w:val="26"/>
          <w:szCs w:val="26"/>
        </w:rPr>
      </w:pPr>
      <w:r w:rsidDel="00000000" w:rsidR="00000000" w:rsidRPr="00000000">
        <w:rPr>
          <w:rFonts w:ascii="Play" w:cs="Play" w:eastAsia="Play" w:hAnsi="Play"/>
          <w:b w:val="1"/>
          <w:bCs w:val="1"/>
          <w:color w:val="007356"/>
          <w:sz w:val="26"/>
          <w:szCs w:val="26"/>
          <w:rtl w:val="0"/>
        </w:rPr>
        <w:t xml:space="preserve">PARTICIPACIÓN Y BENEFICIOS</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57" w:right="0"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39"/>
        </w:tabs>
        <w:spacing w:after="0" w:before="126" w:line="240" w:lineRule="auto"/>
        <w:ind w:left="339" w:right="0" w:hanging="282"/>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La participación en este Congreso es 100% gratuita.</w:t>
      </w:r>
    </w:p>
    <w:p w:rsidR="00000000" w:rsidDel="00000000" w:rsidP="00000000" w:rsidRDefault="00000000" w:rsidRPr="00000000" w14:paraId="0000005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39"/>
        </w:tabs>
        <w:spacing w:after="0" w:before="126" w:line="240" w:lineRule="auto"/>
        <w:ind w:left="339" w:right="0" w:hanging="282"/>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Materiales de acreditación.</w:t>
      </w:r>
    </w:p>
    <w:p w:rsidR="00000000" w:rsidDel="00000000" w:rsidP="00000000" w:rsidRDefault="00000000" w:rsidRPr="00000000" w14:paraId="000000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39"/>
        </w:tabs>
        <w:spacing w:after="0" w:before="126" w:line="240" w:lineRule="auto"/>
        <w:ind w:left="339" w:right="0" w:hanging="282"/>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Participar en las comisiones de trabajo del evento.</w:t>
      </w:r>
    </w:p>
    <w:p w:rsidR="00000000" w:rsidDel="00000000" w:rsidP="00000000" w:rsidRDefault="00000000" w:rsidRPr="00000000" w14:paraId="000000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39"/>
        </w:tabs>
        <w:spacing w:after="0" w:before="126" w:line="240" w:lineRule="auto"/>
        <w:ind w:left="339" w:right="0" w:hanging="282"/>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Certificado según su condición.</w:t>
      </w:r>
    </w:p>
    <w:p w:rsidR="00000000" w:rsidDel="00000000" w:rsidP="00000000" w:rsidRDefault="00000000" w:rsidRPr="00000000" w14:paraId="0000005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39"/>
        </w:tabs>
        <w:spacing w:after="0" w:before="126" w:line="240" w:lineRule="auto"/>
        <w:ind w:left="339" w:right="0" w:hanging="282"/>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Publicación de las ponencias en las memorias del Congreso.</w:t>
      </w:r>
    </w:p>
    <w:p w:rsidR="00000000" w:rsidDel="00000000" w:rsidP="00000000" w:rsidRDefault="00000000" w:rsidRPr="00000000" w14:paraId="0000005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39"/>
        </w:tabs>
        <w:spacing w:after="0" w:before="126" w:line="240" w:lineRule="auto"/>
        <w:ind w:left="339" w:right="0" w:hanging="282"/>
        <w:jc w:val="both"/>
        <w:rPr>
          <w:smallCaps w:val="0"/>
          <w:strike w:val="0"/>
          <w:color w:val="000000"/>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Refrigerio.</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both"/>
        <w:rPr>
          <w:rFonts w:ascii="Cambria Math" w:cs="Cambria Math" w:eastAsia="Cambria Math" w:hAnsi="Cambria Math"/>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ind w:left="57" w:firstLine="0"/>
        <w:jc w:val="both"/>
        <w:rPr>
          <w:rFonts w:ascii="Cambria Math" w:cs="Cambria Math" w:eastAsia="Cambria Math" w:hAnsi="Cambria Math"/>
        </w:rPr>
      </w:pPr>
      <w:r w:rsidDel="00000000" w:rsidR="00000000" w:rsidRPr="00000000">
        <w:rPr>
          <w:b w:val="1"/>
          <w:bCs w:val="1"/>
          <w:color w:val="007356"/>
          <w:sz w:val="18"/>
          <w:szCs w:val="18"/>
          <w:rtl w:val="0"/>
        </w:rPr>
        <w:t xml:space="preserve">MÁS INFORMACIÓN: </w:t>
      </w:r>
      <w:hyperlink r:id="rId11">
        <w:r w:rsidDel="00000000" w:rsidR="00000000" w:rsidRPr="00000000">
          <w:rPr>
            <w:rFonts w:ascii="Cambria Math" w:cs="Cambria Math" w:eastAsia="Cambria Math" w:hAnsi="Cambria Math"/>
            <w:color w:val="0000ff"/>
            <w:u w:val="single"/>
            <w:rtl w:val="0"/>
          </w:rPr>
          <w:t xml:space="preserve">congreso.reddees@gmail.com</w:t>
        </w:r>
      </w:hyperlink>
      <w:r w:rsidDel="00000000" w:rsidR="00000000" w:rsidRPr="00000000">
        <w:rPr>
          <w:rtl w:val="0"/>
        </w:rPr>
      </w:r>
    </w:p>
    <w:p w:rsidR="00000000" w:rsidDel="00000000" w:rsidP="00000000" w:rsidRDefault="00000000" w:rsidRPr="00000000" w14:paraId="0000005C">
      <w:pPr>
        <w:jc w:val="cente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ab/>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sectPr>
      <w:footerReference r:id="rId12" w:type="default"/>
      <w:pgSz w:h="16838" w:w="11906" w:orient="portrait"/>
      <w:pgMar w:bottom="1276" w:top="1418" w:left="147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font w:name="Aptos"/>
  <w:font w:name="XO Thames"/>
  <w:font w:name="Courier New"/>
  <w:font w:name="Arial"/>
  <w:font w:name="Cambria Math"/>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160" w:before="0" w:line="259" w:lineRule="auto"/>
      <w:ind w:left="0" w:right="0" w:firstLine="0"/>
      <w:jc w:val="center"/>
      <w:rPr>
        <w:rFonts w:ascii="Calibri" w:cs="Calibri" w:eastAsia="Calibri" w:hAnsi="Calibri"/>
        <w:b w:val="0"/>
        <w:bCs w:val="0"/>
        <w:i w:val="0"/>
        <w:iCs w:val="0"/>
        <w:smallCaps w:val="1"/>
        <w:strike w:val="0"/>
        <w:color w:val="156082"/>
        <w:sz w:val="22"/>
        <w:szCs w:val="22"/>
        <w:u w:val="none"/>
        <w:shd w:fill="auto" w:val="clear"/>
        <w:vertAlign w:val="baseline"/>
      </w:rPr>
    </w:pPr>
    <w:r w:rsidDel="00000000" w:rsidR="00000000" w:rsidRPr="00000000">
      <w:rPr>
        <w:rFonts w:ascii="Calibri" w:cs="Calibri" w:eastAsia="Calibri" w:hAnsi="Calibri"/>
        <w:b w:val="0"/>
        <w:bCs w:val="0"/>
        <w:i w:val="0"/>
        <w:iCs w:val="0"/>
        <w:smallCaps w:val="1"/>
        <w:strike w:val="0"/>
        <w:color w:val="156082"/>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1"/>
        <w:strike w:val="0"/>
        <w:color w:val="156082"/>
        <w:sz w:val="22"/>
        <w:szCs w:val="22"/>
        <w:u w:val="none"/>
        <w:shd w:fill="auto" w:val="clear"/>
        <w:vertAlign w:val="baseline"/>
        <w:rtl w:val="0"/>
      </w:rPr>
      <w:t xml:space="preserve">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40" w:hanging="284"/>
      </w:pPr>
      <w:rPr>
        <w:rFonts w:ascii="Noto Sans Symbols" w:cs="Noto Sans Symbols" w:eastAsia="Noto Sans Symbols" w:hAnsi="Noto Sans Symbols"/>
        <w:b w:val="0"/>
        <w:bCs w:val="0"/>
        <w:i w:val="0"/>
        <w:iCs w:val="0"/>
        <w:sz w:val="22"/>
        <w:szCs w:val="22"/>
      </w:rPr>
    </w:lvl>
    <w:lvl w:ilvl="1">
      <w:start w:val="0"/>
      <w:numFmt w:val="bullet"/>
      <w:lvlText w:val="•"/>
      <w:lvlJc w:val="left"/>
      <w:pPr>
        <w:ind w:left="1284" w:hanging="284"/>
      </w:pPr>
      <w:rPr/>
    </w:lvl>
    <w:lvl w:ilvl="2">
      <w:start w:val="0"/>
      <w:numFmt w:val="bullet"/>
      <w:lvlText w:val="•"/>
      <w:lvlJc w:val="left"/>
      <w:pPr>
        <w:ind w:left="2228" w:hanging="284"/>
      </w:pPr>
      <w:rPr/>
    </w:lvl>
    <w:lvl w:ilvl="3">
      <w:start w:val="0"/>
      <w:numFmt w:val="bullet"/>
      <w:lvlText w:val="•"/>
      <w:lvlJc w:val="left"/>
      <w:pPr>
        <w:ind w:left="3172" w:hanging="284"/>
      </w:pPr>
      <w:rPr/>
    </w:lvl>
    <w:lvl w:ilvl="4">
      <w:start w:val="0"/>
      <w:numFmt w:val="bullet"/>
      <w:lvlText w:val="•"/>
      <w:lvlJc w:val="left"/>
      <w:pPr>
        <w:ind w:left="4116" w:hanging="283.99999999999955"/>
      </w:pPr>
      <w:rPr/>
    </w:lvl>
    <w:lvl w:ilvl="5">
      <w:start w:val="0"/>
      <w:numFmt w:val="bullet"/>
      <w:lvlText w:val="•"/>
      <w:lvlJc w:val="left"/>
      <w:pPr>
        <w:ind w:left="5060" w:hanging="284"/>
      </w:pPr>
      <w:rPr/>
    </w:lvl>
    <w:lvl w:ilvl="6">
      <w:start w:val="0"/>
      <w:numFmt w:val="bullet"/>
      <w:lvlText w:val="•"/>
      <w:lvlJc w:val="left"/>
      <w:pPr>
        <w:ind w:left="6004" w:hanging="284"/>
      </w:pPr>
      <w:rPr/>
    </w:lvl>
    <w:lvl w:ilvl="7">
      <w:start w:val="0"/>
      <w:numFmt w:val="bullet"/>
      <w:lvlText w:val="•"/>
      <w:lvlJc w:val="left"/>
      <w:pPr>
        <w:ind w:left="6948" w:hanging="284"/>
      </w:pPr>
      <w:rPr/>
    </w:lvl>
    <w:lvl w:ilvl="8">
      <w:start w:val="0"/>
      <w:numFmt w:val="bullet"/>
      <w:lvlText w:val="•"/>
      <w:lvlJc w:val="left"/>
      <w:pPr>
        <w:ind w:left="7893" w:hanging="284"/>
      </w:pPr>
      <w:rPr/>
    </w:lvl>
  </w:abstractNum>
  <w:abstractNum w:abstractNumId="2">
    <w:lvl w:ilvl="0">
      <w:start w:val="1"/>
      <w:numFmt w:val="decimal"/>
      <w:lvlText w:val="%1."/>
      <w:lvlJc w:val="left"/>
      <w:pPr>
        <w:ind w:left="484" w:hanging="428"/>
      </w:pPr>
      <w:rPr>
        <w:rFonts w:ascii="Arial" w:cs="Arial" w:eastAsia="Arial" w:hAnsi="Arial"/>
        <w:b w:val="0"/>
        <w:bCs w:val="0"/>
        <w:i w:val="0"/>
        <w:iCs w:val="0"/>
        <w:sz w:val="22"/>
        <w:szCs w:val="22"/>
      </w:rPr>
    </w:lvl>
    <w:lvl w:ilvl="1">
      <w:start w:val="0"/>
      <w:numFmt w:val="bullet"/>
      <w:lvlText w:val="•"/>
      <w:lvlJc w:val="left"/>
      <w:pPr>
        <w:ind w:left="1410" w:hanging="428"/>
      </w:pPr>
      <w:rPr/>
    </w:lvl>
    <w:lvl w:ilvl="2">
      <w:start w:val="0"/>
      <w:numFmt w:val="bullet"/>
      <w:lvlText w:val="•"/>
      <w:lvlJc w:val="left"/>
      <w:pPr>
        <w:ind w:left="2340" w:hanging="428"/>
      </w:pPr>
      <w:rPr/>
    </w:lvl>
    <w:lvl w:ilvl="3">
      <w:start w:val="0"/>
      <w:numFmt w:val="bullet"/>
      <w:lvlText w:val="•"/>
      <w:lvlJc w:val="left"/>
      <w:pPr>
        <w:ind w:left="3270" w:hanging="428"/>
      </w:pPr>
      <w:rPr/>
    </w:lvl>
    <w:lvl w:ilvl="4">
      <w:start w:val="0"/>
      <w:numFmt w:val="bullet"/>
      <w:lvlText w:val="•"/>
      <w:lvlJc w:val="left"/>
      <w:pPr>
        <w:ind w:left="4200" w:hanging="428"/>
      </w:pPr>
      <w:rPr/>
    </w:lvl>
    <w:lvl w:ilvl="5">
      <w:start w:val="0"/>
      <w:numFmt w:val="bullet"/>
      <w:lvlText w:val="•"/>
      <w:lvlJc w:val="left"/>
      <w:pPr>
        <w:ind w:left="5130" w:hanging="428"/>
      </w:pPr>
      <w:rPr/>
    </w:lvl>
    <w:lvl w:ilvl="6">
      <w:start w:val="0"/>
      <w:numFmt w:val="bullet"/>
      <w:lvlText w:val="•"/>
      <w:lvlJc w:val="left"/>
      <w:pPr>
        <w:ind w:left="6060" w:hanging="428"/>
      </w:pPr>
      <w:rPr/>
    </w:lvl>
    <w:lvl w:ilvl="7">
      <w:start w:val="0"/>
      <w:numFmt w:val="bullet"/>
      <w:lvlText w:val="•"/>
      <w:lvlJc w:val="left"/>
      <w:pPr>
        <w:ind w:left="6990" w:hanging="428"/>
      </w:pPr>
      <w:rPr/>
    </w:lvl>
    <w:lvl w:ilvl="8">
      <w:start w:val="0"/>
      <w:numFmt w:val="bullet"/>
      <w:lvlText w:val="•"/>
      <w:lvlJc w:val="left"/>
      <w:pPr>
        <w:ind w:left="7921" w:hanging="427.9999999999991"/>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Play" w:cs="Play" w:eastAsia="Play" w:hAnsi="Play"/>
      <w:b w:val="1"/>
      <w:bCs w:val="1"/>
      <w:sz w:val="32"/>
      <w:szCs w:val="32"/>
    </w:rPr>
  </w:style>
  <w:style w:type="paragraph" w:styleId="Heading2">
    <w:name w:val="heading 2"/>
    <w:basedOn w:val="Normal"/>
    <w:next w:val="Normal"/>
    <w:pPr>
      <w:keepNext w:val="1"/>
      <w:spacing w:after="60" w:before="240" w:lineRule="auto"/>
    </w:pPr>
    <w:rPr>
      <w:rFonts w:ascii="Play" w:cs="Play" w:eastAsia="Play" w:hAnsi="Play"/>
      <w:b w:val="1"/>
      <w:bCs w:val="1"/>
      <w:i w:val="1"/>
      <w:iCs w:val="1"/>
      <w:sz w:val="28"/>
      <w:szCs w:val="28"/>
    </w:rPr>
  </w:style>
  <w:style w:type="paragraph" w:styleId="Heading3">
    <w:name w:val="heading 3"/>
    <w:basedOn w:val="Normal"/>
    <w:next w:val="Normal"/>
    <w:pPr>
      <w:keepNext w:val="1"/>
      <w:spacing w:after="60" w:before="240" w:lineRule="auto"/>
    </w:pPr>
    <w:rPr>
      <w:rFonts w:ascii="Play" w:cs="Play" w:eastAsia="Play" w:hAnsi="Play"/>
      <w:b w:val="1"/>
      <w:bCs w:val="1"/>
      <w:sz w:val="26"/>
      <w:szCs w:val="26"/>
    </w:rPr>
  </w:style>
  <w:style w:type="paragraph" w:styleId="Heading4">
    <w:name w:val="heading 4"/>
    <w:basedOn w:val="Normal"/>
    <w:next w:val="Normal"/>
    <w:pPr>
      <w:keepNext w:val="1"/>
      <w:spacing w:after="60" w:before="240" w:lineRule="auto"/>
    </w:pPr>
    <w:rPr>
      <w:rFonts w:ascii="Aptos" w:cs="Aptos" w:eastAsia="Aptos" w:hAnsi="Aptos"/>
      <w:b w:val="1"/>
      <w:bCs w:val="1"/>
      <w:sz w:val="28"/>
      <w:szCs w:val="28"/>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pPr>
    <w:rPr>
      <w:rFonts w:ascii="XO Thames" w:cs="XO Thames" w:eastAsia="XO Thames" w:hAnsi="XO Thames"/>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567" w:before="567" w:line="240" w:lineRule="auto"/>
      <w:ind w:left="0" w:right="0" w:firstLine="0"/>
      <w:jc w:val="center"/>
    </w:pPr>
    <w:rPr>
      <w:rFonts w:ascii="XO Thames" w:cs="XO Thames" w:eastAsia="XO Thames" w:hAnsi="XO Thames"/>
      <w:b w:val="1"/>
      <w:bCs w:val="1"/>
      <w:i w:val="0"/>
      <w:iCs w:val="0"/>
      <w:smallCaps w:val="1"/>
      <w:strike w:val="0"/>
      <w:color w:val="000000"/>
      <w:sz w:val="40"/>
      <w:szCs w:val="40"/>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XO Thames" w:cs="XO Thames" w:eastAsia="XO Thames" w:hAnsi="XO Thames"/>
      <w:b w:val="0"/>
      <w:bCs w:val="0"/>
      <w:i w:val="1"/>
      <w:iCs w:val="1"/>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congreso.reddees@gmail.com" TargetMode="External"/><Relationship Id="rId10" Type="http://schemas.openxmlformats.org/officeDocument/2006/relationships/hyperlink" Target="https://eventos.udelar.edu.uy/e/red-dees" TargetMode="External"/><Relationship Id="rId12" Type="http://schemas.openxmlformats.org/officeDocument/2006/relationships/footer" Target="foot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