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A9" w:rsidRDefault="00F514A9" w:rsidP="004726EB">
      <w:pPr>
        <w:jc w:val="center"/>
        <w:rPr>
          <w:b/>
          <w:sz w:val="32"/>
        </w:rPr>
      </w:pPr>
    </w:p>
    <w:tbl>
      <w:tblPr>
        <w:tblStyle w:val="Sombreadoclaro"/>
        <w:tblpPr w:leftFromText="141" w:rightFromText="141" w:vertAnchor="page" w:horzAnchor="margin" w:tblpY="5251"/>
        <w:tblW w:w="9322" w:type="dxa"/>
        <w:tblLook w:val="04A0"/>
      </w:tblPr>
      <w:tblGrid>
        <w:gridCol w:w="1200"/>
        <w:gridCol w:w="8122"/>
      </w:tblGrid>
      <w:tr w:rsidR="00F514A9" w:rsidRPr="004726EB" w:rsidTr="00F514A9">
        <w:trPr>
          <w:cnfStyle w:val="100000000000"/>
          <w:trHeight w:val="300"/>
        </w:trPr>
        <w:tc>
          <w:tcPr>
            <w:cnfStyle w:val="001000000000"/>
            <w:tcW w:w="1200" w:type="dxa"/>
            <w:noWrap/>
            <w:hideMark/>
          </w:tcPr>
          <w:p w:rsidR="00F514A9" w:rsidRPr="004726EB" w:rsidRDefault="00F514A9" w:rsidP="00F514A9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726EB">
              <w:rPr>
                <w:rFonts w:ascii="Calibri" w:eastAsia="Times New Roman" w:hAnsi="Calibri" w:cs="Calibri"/>
                <w:color w:val="000000"/>
                <w:lang w:eastAsia="es-AR"/>
              </w:rPr>
              <w:t>horario</w:t>
            </w:r>
          </w:p>
        </w:tc>
        <w:tc>
          <w:tcPr>
            <w:tcW w:w="8122" w:type="dxa"/>
            <w:noWrap/>
            <w:hideMark/>
          </w:tcPr>
          <w:p w:rsidR="00F514A9" w:rsidRPr="004726EB" w:rsidRDefault="00F514A9" w:rsidP="00F514A9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726EB">
              <w:rPr>
                <w:rFonts w:ascii="Calibri" w:eastAsia="Times New Roman" w:hAnsi="Calibri" w:cs="Calibri"/>
                <w:color w:val="000000"/>
                <w:lang w:eastAsia="es-AR"/>
              </w:rPr>
              <w:t>Exposición</w:t>
            </w:r>
          </w:p>
        </w:tc>
      </w:tr>
      <w:tr w:rsidR="00F514A9" w:rsidRPr="004726EB" w:rsidTr="00F514A9">
        <w:trPr>
          <w:cnfStyle w:val="000000100000"/>
          <w:trHeight w:val="300"/>
        </w:trPr>
        <w:tc>
          <w:tcPr>
            <w:cnfStyle w:val="001000000000"/>
            <w:tcW w:w="1200" w:type="dxa"/>
            <w:noWrap/>
            <w:hideMark/>
          </w:tcPr>
          <w:p w:rsidR="00F514A9" w:rsidRPr="004726EB" w:rsidRDefault="00F514A9" w:rsidP="00F514A9">
            <w:pPr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726EB">
              <w:rPr>
                <w:rFonts w:ascii="Calibri" w:eastAsia="Times New Roman" w:hAnsi="Calibri" w:cs="Calibri"/>
                <w:color w:val="000000"/>
                <w:lang w:eastAsia="es-AR"/>
              </w:rPr>
              <w:t>8:30</w:t>
            </w:r>
          </w:p>
        </w:tc>
        <w:tc>
          <w:tcPr>
            <w:tcW w:w="8122" w:type="dxa"/>
            <w:noWrap/>
            <w:hideMark/>
          </w:tcPr>
          <w:p w:rsidR="00F514A9" w:rsidRPr="004726EB" w:rsidRDefault="00F514A9" w:rsidP="00F514A9">
            <w:pPr>
              <w:cnfStyle w:val="000000100000"/>
              <w:rPr>
                <w:rFonts w:ascii="Calibri" w:eastAsia="Times New Roman" w:hAnsi="Calibri" w:cs="Calibri"/>
                <w:color w:val="000000"/>
                <w:sz w:val="28"/>
                <w:lang w:eastAsia="es-AR"/>
              </w:rPr>
            </w:pPr>
            <w:r w:rsidRPr="004726EB">
              <w:rPr>
                <w:rFonts w:ascii="Calibri" w:eastAsia="Times New Roman" w:hAnsi="Calibri" w:cs="Calibri"/>
                <w:color w:val="000000"/>
                <w:sz w:val="28"/>
                <w:lang w:eastAsia="es-AR"/>
              </w:rPr>
              <w:t>Acreditación/Apertura</w:t>
            </w:r>
          </w:p>
        </w:tc>
      </w:tr>
      <w:tr w:rsidR="00F514A9" w:rsidRPr="004726EB" w:rsidTr="00F514A9">
        <w:trPr>
          <w:trHeight w:val="300"/>
        </w:trPr>
        <w:tc>
          <w:tcPr>
            <w:cnfStyle w:val="001000000000"/>
            <w:tcW w:w="1200" w:type="dxa"/>
            <w:noWrap/>
            <w:hideMark/>
          </w:tcPr>
          <w:p w:rsidR="00F514A9" w:rsidRPr="004726EB" w:rsidRDefault="00F514A9" w:rsidP="00F514A9">
            <w:pPr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726EB">
              <w:rPr>
                <w:rFonts w:ascii="Calibri" w:eastAsia="Times New Roman" w:hAnsi="Calibri" w:cs="Calibri"/>
                <w:color w:val="000000"/>
                <w:lang w:eastAsia="es-AR"/>
              </w:rPr>
              <w:t>9:00</w:t>
            </w:r>
          </w:p>
        </w:tc>
        <w:tc>
          <w:tcPr>
            <w:tcW w:w="8122" w:type="dxa"/>
            <w:noWrap/>
            <w:hideMark/>
          </w:tcPr>
          <w:p w:rsidR="00F514A9" w:rsidRPr="004726EB" w:rsidRDefault="00BD7BD7" w:rsidP="00F514A9">
            <w:pPr>
              <w:cnfStyle w:val="000000000000"/>
              <w:rPr>
                <w:rFonts w:ascii="Calibri" w:eastAsia="Times New Roman" w:hAnsi="Calibri" w:cs="Calibri"/>
                <w:b/>
                <w:color w:val="000000"/>
                <w:sz w:val="28"/>
                <w:lang w:eastAsia="es-AR"/>
              </w:rPr>
            </w:pPr>
            <w:r w:rsidRPr="00BD7BD7">
              <w:rPr>
                <w:rFonts w:ascii="Calibri" w:eastAsia="Times New Roman" w:hAnsi="Calibri" w:cs="Calibri"/>
                <w:b/>
                <w:color w:val="000000"/>
                <w:sz w:val="28"/>
                <w:lang w:eastAsia="es-AR"/>
              </w:rPr>
              <w:t>El Comité Académico Aguas de AUGM: pasado, presente y futuro</w:t>
            </w:r>
            <w:bookmarkStart w:id="0" w:name="_GoBack"/>
            <w:bookmarkEnd w:id="0"/>
          </w:p>
          <w:p w:rsidR="00F514A9" w:rsidRPr="004726EB" w:rsidRDefault="00F514A9" w:rsidP="00F514A9">
            <w:pPr>
              <w:cnfStyle w:val="000000000000"/>
              <w:rPr>
                <w:rFonts w:ascii="Calibri" w:eastAsia="Times New Roman" w:hAnsi="Calibri" w:cs="Calibri"/>
                <w:color w:val="000000"/>
                <w:sz w:val="28"/>
                <w:lang w:eastAsia="es-AR"/>
              </w:rPr>
            </w:pPr>
            <w:r w:rsidRPr="004726EB">
              <w:rPr>
                <w:rFonts w:ascii="Calibri" w:eastAsia="Times New Roman" w:hAnsi="Calibri" w:cs="Calibri"/>
                <w:color w:val="000000"/>
                <w:sz w:val="28"/>
                <w:lang w:eastAsia="es-AR"/>
              </w:rPr>
              <w:t>Dra. Alicia Fernández Cirelli</w:t>
            </w:r>
          </w:p>
        </w:tc>
      </w:tr>
      <w:tr w:rsidR="00F514A9" w:rsidRPr="004726EB" w:rsidTr="00F514A9">
        <w:trPr>
          <w:cnfStyle w:val="000000100000"/>
          <w:trHeight w:val="300"/>
        </w:trPr>
        <w:tc>
          <w:tcPr>
            <w:cnfStyle w:val="001000000000"/>
            <w:tcW w:w="1200" w:type="dxa"/>
            <w:noWrap/>
            <w:hideMark/>
          </w:tcPr>
          <w:p w:rsidR="00F514A9" w:rsidRPr="004726EB" w:rsidRDefault="002A0872" w:rsidP="00F514A9">
            <w:pPr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9:20</w:t>
            </w:r>
          </w:p>
        </w:tc>
        <w:tc>
          <w:tcPr>
            <w:tcW w:w="8122" w:type="dxa"/>
            <w:noWrap/>
            <w:hideMark/>
          </w:tcPr>
          <w:p w:rsidR="00F514A9" w:rsidRPr="004726EB" w:rsidRDefault="00F514A9" w:rsidP="00F514A9">
            <w:pPr>
              <w:cnfStyle w:val="000000100000"/>
              <w:rPr>
                <w:rFonts w:ascii="Calibri" w:eastAsia="Times New Roman" w:hAnsi="Calibri" w:cs="Calibri"/>
                <w:b/>
                <w:color w:val="000000"/>
                <w:sz w:val="28"/>
                <w:lang w:eastAsia="es-AR"/>
              </w:rPr>
            </w:pPr>
            <w:r w:rsidRPr="004726EB">
              <w:rPr>
                <w:rFonts w:ascii="Calibri" w:eastAsia="Times New Roman" w:hAnsi="Calibri" w:cs="Calibri"/>
                <w:b/>
                <w:color w:val="000000"/>
                <w:sz w:val="28"/>
                <w:lang w:eastAsia="es-AR"/>
              </w:rPr>
              <w:t>La plusvalía territorial como herramienta en la GIRH</w:t>
            </w:r>
          </w:p>
          <w:p w:rsidR="00F514A9" w:rsidRPr="004726EB" w:rsidRDefault="00F514A9" w:rsidP="00F514A9">
            <w:pPr>
              <w:cnfStyle w:val="000000100000"/>
              <w:rPr>
                <w:rFonts w:ascii="Calibri" w:eastAsia="Times New Roman" w:hAnsi="Calibri" w:cs="Calibri"/>
                <w:color w:val="000000"/>
                <w:sz w:val="28"/>
                <w:lang w:eastAsia="es-AR"/>
              </w:rPr>
            </w:pPr>
            <w:r w:rsidRPr="004726EB">
              <w:rPr>
                <w:rFonts w:ascii="Calibri" w:eastAsia="Times New Roman" w:hAnsi="Calibri" w:cs="Calibri"/>
                <w:color w:val="000000"/>
                <w:sz w:val="28"/>
                <w:lang w:eastAsia="es-AR"/>
              </w:rPr>
              <w:t>Lic. Mauricio Buccheri</w:t>
            </w:r>
          </w:p>
        </w:tc>
      </w:tr>
      <w:tr w:rsidR="00F514A9" w:rsidRPr="004726EB" w:rsidTr="00F514A9">
        <w:trPr>
          <w:trHeight w:val="300"/>
        </w:trPr>
        <w:tc>
          <w:tcPr>
            <w:cnfStyle w:val="001000000000"/>
            <w:tcW w:w="1200" w:type="dxa"/>
            <w:noWrap/>
            <w:hideMark/>
          </w:tcPr>
          <w:p w:rsidR="00F514A9" w:rsidRPr="004726EB" w:rsidRDefault="002A0872" w:rsidP="00F514A9">
            <w:pPr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9:40</w:t>
            </w:r>
          </w:p>
        </w:tc>
        <w:tc>
          <w:tcPr>
            <w:tcW w:w="8122" w:type="dxa"/>
            <w:noWrap/>
            <w:hideMark/>
          </w:tcPr>
          <w:p w:rsidR="002A0872" w:rsidRDefault="002A0872" w:rsidP="00F514A9">
            <w:pPr>
              <w:cnfStyle w:val="000000000000"/>
              <w:rPr>
                <w:rFonts w:ascii="Calibri" w:eastAsia="Times New Roman" w:hAnsi="Calibri" w:cs="Calibri"/>
                <w:b/>
                <w:color w:val="000000"/>
                <w:sz w:val="28"/>
                <w:lang w:eastAsia="es-AR"/>
              </w:rPr>
            </w:pPr>
            <w:r w:rsidRPr="002A0872">
              <w:rPr>
                <w:rFonts w:ascii="Calibri" w:eastAsia="Times New Roman" w:hAnsi="Calibri" w:cs="Calibri"/>
                <w:b/>
                <w:color w:val="000000"/>
                <w:sz w:val="28"/>
                <w:lang w:eastAsia="es-AR"/>
              </w:rPr>
              <w:t>Uso de aguas residuales para la producción de cultivos energéticos en Mendoza</w:t>
            </w:r>
          </w:p>
          <w:p w:rsidR="00F514A9" w:rsidRPr="004726EB" w:rsidRDefault="002A0872" w:rsidP="002A0872">
            <w:pPr>
              <w:cnfStyle w:val="000000000000"/>
              <w:rPr>
                <w:rFonts w:ascii="Calibri" w:eastAsia="Times New Roman" w:hAnsi="Calibri" w:cs="Calibri"/>
                <w:color w:val="000000"/>
                <w:sz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s-AR"/>
              </w:rPr>
              <w:t>Ing. Agr. Cecilia Rébora</w:t>
            </w:r>
          </w:p>
        </w:tc>
      </w:tr>
      <w:tr w:rsidR="00F514A9" w:rsidRPr="004726EB" w:rsidTr="00F514A9">
        <w:trPr>
          <w:cnfStyle w:val="000000100000"/>
          <w:trHeight w:val="300"/>
        </w:trPr>
        <w:tc>
          <w:tcPr>
            <w:cnfStyle w:val="001000000000"/>
            <w:tcW w:w="1200" w:type="dxa"/>
            <w:noWrap/>
            <w:hideMark/>
          </w:tcPr>
          <w:p w:rsidR="00F514A9" w:rsidRPr="004726EB" w:rsidRDefault="00F514A9" w:rsidP="00F514A9">
            <w:pPr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726EB">
              <w:rPr>
                <w:rFonts w:ascii="Calibri" w:eastAsia="Times New Roman" w:hAnsi="Calibri" w:cs="Calibri"/>
                <w:color w:val="000000"/>
                <w:lang w:eastAsia="es-AR"/>
              </w:rPr>
              <w:t>10:00</w:t>
            </w:r>
          </w:p>
        </w:tc>
        <w:tc>
          <w:tcPr>
            <w:tcW w:w="8122" w:type="dxa"/>
            <w:noWrap/>
            <w:hideMark/>
          </w:tcPr>
          <w:p w:rsidR="00F514A9" w:rsidRPr="004726EB" w:rsidRDefault="00F514A9" w:rsidP="00F514A9">
            <w:pPr>
              <w:cnfStyle w:val="000000100000"/>
              <w:rPr>
                <w:rFonts w:ascii="Calibri" w:eastAsia="Times New Roman" w:hAnsi="Calibri" w:cs="Calibri"/>
                <w:b/>
                <w:color w:val="000000"/>
                <w:sz w:val="28"/>
                <w:lang w:eastAsia="es-AR"/>
              </w:rPr>
            </w:pPr>
            <w:r w:rsidRPr="004726EB">
              <w:rPr>
                <w:rFonts w:ascii="Calibri" w:eastAsia="Times New Roman" w:hAnsi="Calibri" w:cs="Calibri"/>
                <w:b/>
                <w:color w:val="000000"/>
                <w:sz w:val="28"/>
                <w:lang w:eastAsia="es-AR"/>
              </w:rPr>
              <w:t>El estratégico manejo del agua en cuencas endorreicas</w:t>
            </w:r>
          </w:p>
          <w:p w:rsidR="00F514A9" w:rsidRPr="004726EB" w:rsidRDefault="00F514A9" w:rsidP="00F514A9">
            <w:pPr>
              <w:cnfStyle w:val="000000100000"/>
              <w:rPr>
                <w:rFonts w:ascii="Calibri" w:eastAsia="Times New Roman" w:hAnsi="Calibri" w:cs="Calibri"/>
                <w:color w:val="000000"/>
                <w:sz w:val="28"/>
                <w:lang w:eastAsia="es-AR"/>
              </w:rPr>
            </w:pPr>
            <w:r w:rsidRPr="004726EB">
              <w:rPr>
                <w:rFonts w:ascii="Calibri" w:eastAsia="Times New Roman" w:hAnsi="Calibri" w:cs="Calibri"/>
                <w:color w:val="000000"/>
                <w:sz w:val="28"/>
                <w:lang w:eastAsia="es-AR"/>
              </w:rPr>
              <w:t>Dra. Alejandra Geraldi</w:t>
            </w:r>
          </w:p>
        </w:tc>
      </w:tr>
      <w:tr w:rsidR="00F514A9" w:rsidRPr="004726EB" w:rsidTr="00F514A9">
        <w:trPr>
          <w:trHeight w:val="300"/>
        </w:trPr>
        <w:tc>
          <w:tcPr>
            <w:cnfStyle w:val="001000000000"/>
            <w:tcW w:w="1200" w:type="dxa"/>
            <w:noWrap/>
            <w:hideMark/>
          </w:tcPr>
          <w:p w:rsidR="00F514A9" w:rsidRPr="004726EB" w:rsidRDefault="00F514A9" w:rsidP="00F514A9">
            <w:pPr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726EB">
              <w:rPr>
                <w:rFonts w:ascii="Calibri" w:eastAsia="Times New Roman" w:hAnsi="Calibri" w:cs="Calibri"/>
                <w:color w:val="000000"/>
                <w:lang w:eastAsia="es-AR"/>
              </w:rPr>
              <w:t>10:20</w:t>
            </w:r>
          </w:p>
        </w:tc>
        <w:tc>
          <w:tcPr>
            <w:tcW w:w="8122" w:type="dxa"/>
            <w:noWrap/>
            <w:hideMark/>
          </w:tcPr>
          <w:p w:rsidR="00F514A9" w:rsidRPr="004726EB" w:rsidRDefault="002A0872" w:rsidP="00F514A9">
            <w:pPr>
              <w:cnfStyle w:val="000000000000"/>
              <w:rPr>
                <w:rFonts w:ascii="Calibri" w:eastAsia="Times New Roman" w:hAnsi="Calibri" w:cs="Calibri"/>
                <w:b/>
                <w:color w:val="000000"/>
                <w:sz w:val="2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es-AR"/>
              </w:rPr>
              <w:t>Instrumentos económicos- financieros para la gestión de la Seguridad Hídrica</w:t>
            </w:r>
          </w:p>
          <w:p w:rsidR="00F514A9" w:rsidRPr="004726EB" w:rsidRDefault="00F514A9" w:rsidP="00F514A9">
            <w:pPr>
              <w:cnfStyle w:val="000000000000"/>
              <w:rPr>
                <w:rFonts w:ascii="Calibri" w:eastAsia="Times New Roman" w:hAnsi="Calibri" w:cs="Calibri"/>
                <w:color w:val="000000"/>
                <w:sz w:val="28"/>
                <w:lang w:eastAsia="es-AR"/>
              </w:rPr>
            </w:pPr>
            <w:r w:rsidRPr="004726EB">
              <w:rPr>
                <w:rFonts w:ascii="Calibri" w:eastAsia="Times New Roman" w:hAnsi="Calibri" w:cs="Calibri"/>
                <w:color w:val="000000"/>
                <w:sz w:val="28"/>
                <w:lang w:eastAsia="es-AR"/>
              </w:rPr>
              <w:t>Dr</w:t>
            </w:r>
            <w:r w:rsidR="002A0872">
              <w:rPr>
                <w:rFonts w:ascii="Calibri" w:eastAsia="Times New Roman" w:hAnsi="Calibri" w:cs="Calibri"/>
                <w:color w:val="000000"/>
                <w:sz w:val="28"/>
                <w:lang w:eastAsia="es-AR"/>
              </w:rPr>
              <w:t>a</w:t>
            </w:r>
            <w:r w:rsidRPr="004726EB">
              <w:rPr>
                <w:rFonts w:ascii="Calibri" w:eastAsia="Times New Roman" w:hAnsi="Calibri" w:cs="Calibri"/>
                <w:color w:val="000000"/>
                <w:sz w:val="28"/>
                <w:lang w:eastAsia="es-AR"/>
              </w:rPr>
              <w:t>. Mónica Marcela Andino</w:t>
            </w:r>
          </w:p>
        </w:tc>
      </w:tr>
      <w:tr w:rsidR="00F514A9" w:rsidRPr="004726EB" w:rsidTr="00F514A9">
        <w:trPr>
          <w:cnfStyle w:val="000000100000"/>
          <w:trHeight w:val="300"/>
        </w:trPr>
        <w:tc>
          <w:tcPr>
            <w:cnfStyle w:val="001000000000"/>
            <w:tcW w:w="1200" w:type="dxa"/>
            <w:noWrap/>
            <w:hideMark/>
          </w:tcPr>
          <w:p w:rsidR="00F514A9" w:rsidRPr="004726EB" w:rsidRDefault="00F514A9" w:rsidP="00F514A9">
            <w:pPr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726EB">
              <w:rPr>
                <w:rFonts w:ascii="Calibri" w:eastAsia="Times New Roman" w:hAnsi="Calibri" w:cs="Calibri"/>
                <w:color w:val="000000"/>
                <w:lang w:eastAsia="es-AR"/>
              </w:rPr>
              <w:t>10:40</w:t>
            </w:r>
          </w:p>
        </w:tc>
        <w:tc>
          <w:tcPr>
            <w:tcW w:w="8122" w:type="dxa"/>
            <w:noWrap/>
            <w:hideMark/>
          </w:tcPr>
          <w:p w:rsidR="00F514A9" w:rsidRPr="004726EB" w:rsidRDefault="00F514A9" w:rsidP="00F514A9">
            <w:pPr>
              <w:cnfStyle w:val="000000100000"/>
              <w:rPr>
                <w:rFonts w:ascii="Calibri" w:eastAsia="Times New Roman" w:hAnsi="Calibri" w:cs="Calibri"/>
                <w:b/>
                <w:color w:val="000000"/>
                <w:sz w:val="28"/>
                <w:lang w:eastAsia="es-AR"/>
              </w:rPr>
            </w:pPr>
            <w:r w:rsidRPr="004726EB">
              <w:rPr>
                <w:rFonts w:ascii="Calibri" w:eastAsia="Times New Roman" w:hAnsi="Calibri" w:cs="Calibri"/>
                <w:b/>
                <w:color w:val="000000"/>
                <w:sz w:val="28"/>
                <w:lang w:eastAsia="es-AR"/>
              </w:rPr>
              <w:t>Presentación libro: La Nueva Humanización del Ambiente del Agua y el Espacio en Nuestra Tierra Común</w:t>
            </w:r>
          </w:p>
          <w:p w:rsidR="00F514A9" w:rsidRPr="004726EB" w:rsidRDefault="00F514A9" w:rsidP="00F514A9">
            <w:pPr>
              <w:cnfStyle w:val="000000100000"/>
              <w:rPr>
                <w:rFonts w:ascii="Calibri" w:eastAsia="Times New Roman" w:hAnsi="Calibri" w:cs="Calibri"/>
                <w:color w:val="000000"/>
                <w:sz w:val="28"/>
                <w:lang w:eastAsia="es-AR"/>
              </w:rPr>
            </w:pPr>
            <w:r w:rsidRPr="004726EB">
              <w:rPr>
                <w:rFonts w:ascii="Calibri" w:eastAsia="Times New Roman" w:hAnsi="Calibri" w:cs="Calibri"/>
                <w:color w:val="000000"/>
                <w:sz w:val="28"/>
                <w:lang w:eastAsia="es-AR"/>
              </w:rPr>
              <w:t>Dr. Anibal Faccendini</w:t>
            </w:r>
          </w:p>
        </w:tc>
      </w:tr>
      <w:tr w:rsidR="00F514A9" w:rsidRPr="004726EB" w:rsidTr="00F514A9">
        <w:trPr>
          <w:trHeight w:val="300"/>
        </w:trPr>
        <w:tc>
          <w:tcPr>
            <w:cnfStyle w:val="001000000000"/>
            <w:tcW w:w="1200" w:type="dxa"/>
            <w:noWrap/>
            <w:hideMark/>
          </w:tcPr>
          <w:p w:rsidR="00F514A9" w:rsidRPr="004726EB" w:rsidRDefault="00F514A9" w:rsidP="00F514A9">
            <w:pPr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726EB">
              <w:rPr>
                <w:rFonts w:ascii="Calibri" w:eastAsia="Times New Roman" w:hAnsi="Calibri" w:cs="Calibri"/>
                <w:color w:val="000000"/>
                <w:lang w:eastAsia="es-AR"/>
              </w:rPr>
              <w:t>11:00</w:t>
            </w:r>
          </w:p>
        </w:tc>
        <w:tc>
          <w:tcPr>
            <w:tcW w:w="8122" w:type="dxa"/>
            <w:noWrap/>
            <w:hideMark/>
          </w:tcPr>
          <w:p w:rsidR="00F514A9" w:rsidRPr="004726EB" w:rsidRDefault="00F514A9" w:rsidP="00F514A9">
            <w:pPr>
              <w:cnfStyle w:val="000000000000"/>
              <w:rPr>
                <w:rFonts w:ascii="Calibri" w:eastAsia="Times New Roman" w:hAnsi="Calibri" w:cs="Calibri"/>
                <w:b/>
                <w:color w:val="000000"/>
                <w:sz w:val="28"/>
                <w:lang w:eastAsia="es-AR"/>
              </w:rPr>
            </w:pPr>
            <w:r w:rsidRPr="004726EB">
              <w:rPr>
                <w:rFonts w:ascii="Calibri" w:eastAsia="Times New Roman" w:hAnsi="Calibri" w:cs="Calibri"/>
                <w:b/>
                <w:color w:val="000000"/>
                <w:sz w:val="28"/>
                <w:lang w:eastAsia="es-AR"/>
              </w:rPr>
              <w:t>Cierre de la Actividad</w:t>
            </w:r>
          </w:p>
        </w:tc>
      </w:tr>
    </w:tbl>
    <w:p w:rsidR="00F514A9" w:rsidRDefault="00F514A9" w:rsidP="004726EB">
      <w:pPr>
        <w:jc w:val="center"/>
        <w:rPr>
          <w:b/>
          <w:sz w:val="32"/>
        </w:rPr>
      </w:pPr>
    </w:p>
    <w:p w:rsidR="00F514A9" w:rsidRDefault="00F514A9" w:rsidP="004726EB">
      <w:pPr>
        <w:jc w:val="center"/>
        <w:rPr>
          <w:b/>
          <w:sz w:val="32"/>
        </w:rPr>
      </w:pPr>
      <w:r>
        <w:rPr>
          <w:b/>
          <w:sz w:val="32"/>
        </w:rPr>
        <w:t>Jornada de Jóvenes Investigadores</w:t>
      </w:r>
    </w:p>
    <w:p w:rsidR="00090FAB" w:rsidRDefault="00F514A9" w:rsidP="004726EB">
      <w:pPr>
        <w:jc w:val="center"/>
        <w:rPr>
          <w:b/>
          <w:sz w:val="32"/>
        </w:rPr>
      </w:pPr>
      <w:r>
        <w:rPr>
          <w:b/>
          <w:sz w:val="32"/>
        </w:rPr>
        <w:t xml:space="preserve">    </w:t>
      </w:r>
      <w:r w:rsidR="004726EB" w:rsidRPr="004726EB">
        <w:rPr>
          <w:b/>
          <w:sz w:val="32"/>
        </w:rPr>
        <w:t>Seminario “Enfoque integrado de la Problemática del Agua”</w:t>
      </w:r>
    </w:p>
    <w:p w:rsidR="00777E75" w:rsidRDefault="00777E75" w:rsidP="004726EB">
      <w:pPr>
        <w:jc w:val="center"/>
        <w:rPr>
          <w:b/>
          <w:sz w:val="32"/>
        </w:rPr>
      </w:pPr>
      <w:r>
        <w:rPr>
          <w:b/>
          <w:sz w:val="32"/>
        </w:rPr>
        <w:t xml:space="preserve">Comité Académico Aguas AUGM </w:t>
      </w:r>
    </w:p>
    <w:p w:rsidR="00F514A9" w:rsidRDefault="00F514A9" w:rsidP="004726EB">
      <w:pPr>
        <w:jc w:val="center"/>
        <w:rPr>
          <w:b/>
          <w:sz w:val="24"/>
        </w:rPr>
      </w:pPr>
      <w:r w:rsidRPr="00F514A9">
        <w:rPr>
          <w:b/>
          <w:sz w:val="24"/>
        </w:rPr>
        <w:t>19 de octubre de 2018</w:t>
      </w:r>
    </w:p>
    <w:p w:rsidR="002A0872" w:rsidRDefault="002A0872" w:rsidP="004726EB">
      <w:pPr>
        <w:jc w:val="center"/>
        <w:rPr>
          <w:b/>
          <w:sz w:val="24"/>
        </w:rPr>
      </w:pPr>
    </w:p>
    <w:p w:rsidR="002A0872" w:rsidRPr="00F514A9" w:rsidRDefault="002A0872" w:rsidP="004726EB">
      <w:pPr>
        <w:jc w:val="center"/>
        <w:rPr>
          <w:b/>
          <w:sz w:val="24"/>
        </w:rPr>
      </w:pPr>
      <w:r>
        <w:rPr>
          <w:b/>
          <w:sz w:val="24"/>
        </w:rPr>
        <w:t>Lugar: Campus UNCUYO. Bloque de Aulas Científicas y Tecnológicas BAC</w:t>
      </w:r>
    </w:p>
    <w:sectPr w:rsidR="002A0872" w:rsidRPr="00F514A9" w:rsidSect="004726EB">
      <w:headerReference w:type="default" r:id="rId6"/>
      <w:footerReference w:type="default" r:id="rId7"/>
      <w:pgSz w:w="11906" w:h="16838"/>
      <w:pgMar w:top="1417" w:right="1701" w:bottom="1417" w:left="1701" w:header="0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BBD" w:rsidRDefault="00E06BBD" w:rsidP="004726EB">
      <w:pPr>
        <w:spacing w:after="0" w:line="240" w:lineRule="auto"/>
      </w:pPr>
      <w:r>
        <w:separator/>
      </w:r>
    </w:p>
  </w:endnote>
  <w:endnote w:type="continuationSeparator" w:id="0">
    <w:p w:rsidR="00E06BBD" w:rsidRDefault="00E06BBD" w:rsidP="0047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EB" w:rsidRPr="00F514A9" w:rsidRDefault="004726EB" w:rsidP="00F514A9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BBD" w:rsidRDefault="00E06BBD" w:rsidP="004726EB">
      <w:pPr>
        <w:spacing w:after="0" w:line="240" w:lineRule="auto"/>
      </w:pPr>
      <w:r>
        <w:separator/>
      </w:r>
    </w:p>
  </w:footnote>
  <w:footnote w:type="continuationSeparator" w:id="0">
    <w:p w:rsidR="00E06BBD" w:rsidRDefault="00E06BBD" w:rsidP="00472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EB" w:rsidRDefault="00F514A9" w:rsidP="004726EB">
    <w:pPr>
      <w:pStyle w:val="Encabezado"/>
      <w:tabs>
        <w:tab w:val="clear" w:pos="4252"/>
        <w:tab w:val="clear" w:pos="8504"/>
        <w:tab w:val="left" w:pos="5370"/>
      </w:tabs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206004</wp:posOffset>
          </wp:positionH>
          <wp:positionV relativeFrom="paragraph">
            <wp:posOffset>-50800</wp:posOffset>
          </wp:positionV>
          <wp:extent cx="2359939" cy="1777041"/>
          <wp:effectExtent l="0" t="0" r="254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939" cy="1777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409575</wp:posOffset>
          </wp:positionV>
          <wp:extent cx="1581150" cy="790575"/>
          <wp:effectExtent l="0" t="0" r="0" b="952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26EB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726EB"/>
    <w:rsid w:val="00090FAB"/>
    <w:rsid w:val="000A32DA"/>
    <w:rsid w:val="002A0872"/>
    <w:rsid w:val="004726EB"/>
    <w:rsid w:val="00777E75"/>
    <w:rsid w:val="007C0D8A"/>
    <w:rsid w:val="009E22F2"/>
    <w:rsid w:val="00BD7BD7"/>
    <w:rsid w:val="00C866C9"/>
    <w:rsid w:val="00E06BBD"/>
    <w:rsid w:val="00F5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4726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4726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6EB"/>
  </w:style>
  <w:style w:type="paragraph" w:styleId="Piedepgina">
    <w:name w:val="footer"/>
    <w:basedOn w:val="Normal"/>
    <w:link w:val="PiedepginaCar"/>
    <w:uiPriority w:val="99"/>
    <w:unhideWhenUsed/>
    <w:rsid w:val="004726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6EB"/>
  </w:style>
  <w:style w:type="paragraph" w:styleId="Textodeglobo">
    <w:name w:val="Balloon Text"/>
    <w:basedOn w:val="Normal"/>
    <w:link w:val="TextodegloboCar"/>
    <w:uiPriority w:val="99"/>
    <w:semiHidden/>
    <w:unhideWhenUsed/>
    <w:rsid w:val="0047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4726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4726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6EB"/>
  </w:style>
  <w:style w:type="paragraph" w:styleId="Piedepgina">
    <w:name w:val="footer"/>
    <w:basedOn w:val="Normal"/>
    <w:link w:val="PiedepginaCar"/>
    <w:uiPriority w:val="99"/>
    <w:unhideWhenUsed/>
    <w:rsid w:val="004726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6EB"/>
  </w:style>
  <w:style w:type="paragraph" w:styleId="Textodeglobo">
    <w:name w:val="Balloon Text"/>
    <w:basedOn w:val="Normal"/>
    <w:link w:val="TextodegloboCar"/>
    <w:uiPriority w:val="99"/>
    <w:semiHidden/>
    <w:unhideWhenUsed/>
    <w:rsid w:val="0047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757</Characters>
  <Application>Microsoft Office Word</Application>
  <DocSecurity>0</DocSecurity>
  <Lines>36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Pinto</dc:creator>
  <cp:lastModifiedBy>AVV</cp:lastModifiedBy>
  <cp:revision>2</cp:revision>
  <dcterms:created xsi:type="dcterms:W3CDTF">2018-09-18T23:13:00Z</dcterms:created>
  <dcterms:modified xsi:type="dcterms:W3CDTF">2018-09-18T23:13:00Z</dcterms:modified>
</cp:coreProperties>
</file>