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69DF4" w14:textId="25A483E1" w:rsidR="002C54AB" w:rsidRDefault="002C54AB">
      <w:pPr>
        <w:rPr>
          <w:rStyle w:val="markedcontent"/>
          <w:sz w:val="24"/>
          <w:szCs w:val="24"/>
        </w:rPr>
      </w:pPr>
      <w:r w:rsidRPr="00BC162F">
        <w:rPr>
          <w:rStyle w:val="markedcontent"/>
          <w:sz w:val="24"/>
          <w:szCs w:val="24"/>
        </w:rPr>
        <w:t>De conformidad con lo acordado en la CSE del 10.11.22, se han incorporado al reglamento del PE</w:t>
      </w:r>
      <w:r w:rsidR="001C7AA3">
        <w:rPr>
          <w:rStyle w:val="markedcontent"/>
          <w:sz w:val="24"/>
          <w:szCs w:val="24"/>
        </w:rPr>
        <w:t>EPG</w:t>
      </w:r>
      <w:r w:rsidRPr="00BC162F">
        <w:rPr>
          <w:rStyle w:val="markedcontent"/>
          <w:sz w:val="24"/>
          <w:szCs w:val="24"/>
        </w:rPr>
        <w:t xml:space="preserve"> las siguientes modificaciones:</w:t>
      </w:r>
    </w:p>
    <w:p w14:paraId="33641BB1" w14:textId="77777777" w:rsidR="00020B3A" w:rsidRPr="00BC162F" w:rsidRDefault="00020B3A">
      <w:pPr>
        <w:rPr>
          <w:rStyle w:val="markedcontent"/>
          <w:sz w:val="24"/>
          <w:szCs w:val="24"/>
        </w:rPr>
      </w:pPr>
    </w:p>
    <w:p w14:paraId="67B79B93" w14:textId="784DC3C7" w:rsidR="00020B3A" w:rsidRPr="002A0D70" w:rsidRDefault="00020B3A" w:rsidP="00EB1883">
      <w:pPr>
        <w:pStyle w:val="Prrafodelista"/>
        <w:widowControl w:val="0"/>
        <w:numPr>
          <w:ilvl w:val="0"/>
          <w:numId w:val="5"/>
        </w:numPr>
        <w:tabs>
          <w:tab w:val="left" w:pos="536"/>
        </w:tabs>
        <w:autoSpaceDE w:val="0"/>
        <w:autoSpaceDN w:val="0"/>
        <w:spacing w:before="1" w:after="0" w:line="360" w:lineRule="auto"/>
        <w:ind w:left="119" w:right="117"/>
        <w:contextualSpacing w:val="0"/>
        <w:jc w:val="both"/>
        <w:rPr>
          <w:rFonts w:ascii="Alef" w:hAnsi="Alef" w:cs="Alef"/>
          <w:color w:val="3B3838" w:themeColor="background2" w:themeShade="40"/>
          <w:sz w:val="20"/>
          <w:szCs w:val="20"/>
        </w:rPr>
      </w:pPr>
      <w:r w:rsidRPr="002A0D70">
        <w:rPr>
          <w:rFonts w:ascii="Alef" w:hAnsi="Alef" w:cs="Alef"/>
          <w:color w:val="3B3838" w:themeColor="background2" w:themeShade="40"/>
          <w:sz w:val="20"/>
          <w:szCs w:val="20"/>
        </w:rPr>
        <w:t>En el numeral 6</w:t>
      </w:r>
      <w:r w:rsidR="008D098E" w:rsidRPr="002A0D70">
        <w:rPr>
          <w:rFonts w:ascii="Alef" w:hAnsi="Alef" w:cs="Alef"/>
          <w:color w:val="3B3838" w:themeColor="background2" w:themeShade="40"/>
          <w:sz w:val="20"/>
          <w:szCs w:val="20"/>
        </w:rPr>
        <w:t xml:space="preserve"> </w:t>
      </w:r>
      <w:r w:rsidRPr="002A0D70">
        <w:rPr>
          <w:rFonts w:ascii="Alef" w:hAnsi="Alef" w:cs="Alef"/>
          <w:color w:val="3B3838" w:themeColor="background2" w:themeShade="40"/>
          <w:sz w:val="20"/>
          <w:szCs w:val="20"/>
        </w:rPr>
        <w:t xml:space="preserve">se ha modificado la redacción de : </w:t>
      </w:r>
      <w:r w:rsidRPr="002A0D70">
        <w:rPr>
          <w:strike/>
          <w:sz w:val="24"/>
          <w:shd w:val="clear" w:color="auto" w:fill="FFFF00"/>
        </w:rPr>
        <w:t>Las universidades de AUGM deben determinar el número de movilidades que financiará (total o parcialmente) como “universidad de origen” y el número de plazas que ofrecen como “universidad de destino” y para cuáles carreras de posgrado, u otras actividades relacionadas,</w:t>
      </w:r>
      <w:r w:rsidR="002A0D70" w:rsidRPr="002A0D70">
        <w:rPr>
          <w:strike/>
          <w:sz w:val="24"/>
          <w:shd w:val="clear" w:color="auto" w:fill="FFFF00"/>
        </w:rPr>
        <w:t xml:space="preserve"> </w:t>
      </w:r>
      <w:r w:rsidR="002A0D70" w:rsidRPr="002A0D70">
        <w:rPr>
          <w:sz w:val="24"/>
        </w:rPr>
        <w:t xml:space="preserve">    </w:t>
      </w:r>
      <w:r w:rsidRPr="002A0D70">
        <w:rPr>
          <w:sz w:val="24"/>
        </w:rPr>
        <w:t xml:space="preserve">a:  </w:t>
      </w:r>
      <w:r w:rsidRPr="002A0D70">
        <w:rPr>
          <w:sz w:val="24"/>
        </w:rPr>
        <w:t>Las</w:t>
      </w:r>
      <w:r w:rsidRPr="002A0D70">
        <w:rPr>
          <w:spacing w:val="1"/>
          <w:sz w:val="24"/>
        </w:rPr>
        <w:t xml:space="preserve"> </w:t>
      </w:r>
      <w:r w:rsidRPr="002A0D70">
        <w:rPr>
          <w:sz w:val="24"/>
        </w:rPr>
        <w:t>universidades</w:t>
      </w:r>
      <w:r w:rsidRPr="002A0D70">
        <w:rPr>
          <w:spacing w:val="1"/>
          <w:sz w:val="24"/>
        </w:rPr>
        <w:t xml:space="preserve"> </w:t>
      </w:r>
      <w:r w:rsidRPr="002A0D70">
        <w:rPr>
          <w:sz w:val="24"/>
        </w:rPr>
        <w:t>de</w:t>
      </w:r>
      <w:r w:rsidRPr="002A0D70">
        <w:rPr>
          <w:spacing w:val="1"/>
          <w:sz w:val="24"/>
        </w:rPr>
        <w:t xml:space="preserve"> </w:t>
      </w:r>
      <w:r w:rsidRPr="002A0D70">
        <w:rPr>
          <w:sz w:val="24"/>
        </w:rPr>
        <w:t>AUGM</w:t>
      </w:r>
      <w:r w:rsidRPr="002A0D70">
        <w:rPr>
          <w:spacing w:val="1"/>
          <w:sz w:val="24"/>
        </w:rPr>
        <w:t xml:space="preserve"> </w:t>
      </w:r>
      <w:r w:rsidRPr="002A0D70">
        <w:rPr>
          <w:sz w:val="24"/>
        </w:rPr>
        <w:t>deben</w:t>
      </w:r>
      <w:r w:rsidRPr="002A0D70">
        <w:rPr>
          <w:spacing w:val="1"/>
          <w:sz w:val="24"/>
        </w:rPr>
        <w:t xml:space="preserve"> </w:t>
      </w:r>
      <w:r w:rsidRPr="002A0D70">
        <w:rPr>
          <w:sz w:val="24"/>
        </w:rPr>
        <w:t>determinar</w:t>
      </w:r>
      <w:r w:rsidRPr="002A0D70">
        <w:rPr>
          <w:spacing w:val="1"/>
          <w:sz w:val="24"/>
        </w:rPr>
        <w:t xml:space="preserve"> </w:t>
      </w:r>
      <w:r w:rsidRPr="002A0D70">
        <w:rPr>
          <w:sz w:val="24"/>
        </w:rPr>
        <w:t>el número de</w:t>
      </w:r>
      <w:r w:rsidRPr="002A0D70">
        <w:rPr>
          <w:spacing w:val="1"/>
          <w:sz w:val="24"/>
        </w:rPr>
        <w:t xml:space="preserve"> </w:t>
      </w:r>
      <w:r w:rsidRPr="002A0D70">
        <w:rPr>
          <w:sz w:val="24"/>
        </w:rPr>
        <w:t>plazas</w:t>
      </w:r>
      <w:r w:rsidRPr="002A0D70">
        <w:rPr>
          <w:spacing w:val="1"/>
          <w:sz w:val="24"/>
        </w:rPr>
        <w:t xml:space="preserve"> </w:t>
      </w:r>
      <w:r w:rsidRPr="002A0D70">
        <w:rPr>
          <w:sz w:val="24"/>
        </w:rPr>
        <w:t>que</w:t>
      </w:r>
      <w:r w:rsidRPr="002A0D70">
        <w:rPr>
          <w:spacing w:val="1"/>
          <w:sz w:val="24"/>
        </w:rPr>
        <w:t xml:space="preserve"> </w:t>
      </w:r>
      <w:r w:rsidRPr="002A0D70">
        <w:rPr>
          <w:sz w:val="24"/>
        </w:rPr>
        <w:t>ofrecen</w:t>
      </w:r>
      <w:r w:rsidRPr="002A0D70">
        <w:rPr>
          <w:spacing w:val="1"/>
          <w:sz w:val="24"/>
        </w:rPr>
        <w:t xml:space="preserve"> </w:t>
      </w:r>
      <w:r w:rsidRPr="002A0D70">
        <w:rPr>
          <w:sz w:val="24"/>
        </w:rPr>
        <w:t>como</w:t>
      </w:r>
      <w:r w:rsidRPr="002A0D70">
        <w:rPr>
          <w:spacing w:val="1"/>
          <w:sz w:val="24"/>
        </w:rPr>
        <w:t xml:space="preserve"> </w:t>
      </w:r>
      <w:r w:rsidRPr="002A0D70">
        <w:rPr>
          <w:sz w:val="24"/>
        </w:rPr>
        <w:t>“universidad</w:t>
      </w:r>
      <w:r w:rsidRPr="002A0D70">
        <w:rPr>
          <w:spacing w:val="1"/>
          <w:sz w:val="24"/>
        </w:rPr>
        <w:t xml:space="preserve"> </w:t>
      </w:r>
      <w:r w:rsidRPr="002A0D70">
        <w:rPr>
          <w:sz w:val="24"/>
        </w:rPr>
        <w:t>de</w:t>
      </w:r>
      <w:r w:rsidRPr="002A0D70">
        <w:rPr>
          <w:spacing w:val="1"/>
          <w:sz w:val="24"/>
        </w:rPr>
        <w:t xml:space="preserve"> </w:t>
      </w:r>
      <w:r w:rsidRPr="002A0D70">
        <w:rPr>
          <w:sz w:val="24"/>
        </w:rPr>
        <w:t>destino”</w:t>
      </w:r>
      <w:r w:rsidRPr="002A0D70">
        <w:rPr>
          <w:spacing w:val="1"/>
          <w:sz w:val="24"/>
        </w:rPr>
        <w:t xml:space="preserve"> </w:t>
      </w:r>
      <w:r w:rsidRPr="002A0D70">
        <w:rPr>
          <w:sz w:val="24"/>
        </w:rPr>
        <w:t>y</w:t>
      </w:r>
      <w:r w:rsidRPr="002A0D70">
        <w:rPr>
          <w:spacing w:val="1"/>
          <w:sz w:val="24"/>
        </w:rPr>
        <w:t xml:space="preserve"> </w:t>
      </w:r>
      <w:r w:rsidRPr="002A0D70">
        <w:rPr>
          <w:sz w:val="24"/>
        </w:rPr>
        <w:t>para</w:t>
      </w:r>
      <w:r w:rsidRPr="002A0D70">
        <w:rPr>
          <w:spacing w:val="1"/>
          <w:sz w:val="24"/>
        </w:rPr>
        <w:t xml:space="preserve"> </w:t>
      </w:r>
      <w:r w:rsidRPr="002A0D70">
        <w:rPr>
          <w:sz w:val="24"/>
        </w:rPr>
        <w:t>cuáles</w:t>
      </w:r>
      <w:r w:rsidRPr="002A0D70">
        <w:rPr>
          <w:spacing w:val="1"/>
          <w:sz w:val="24"/>
        </w:rPr>
        <w:t xml:space="preserve"> </w:t>
      </w:r>
      <w:r w:rsidRPr="002A0D70">
        <w:rPr>
          <w:sz w:val="24"/>
        </w:rPr>
        <w:t>carreras</w:t>
      </w:r>
      <w:r w:rsidRPr="002A0D70">
        <w:rPr>
          <w:spacing w:val="1"/>
          <w:sz w:val="24"/>
        </w:rPr>
        <w:t xml:space="preserve"> </w:t>
      </w:r>
      <w:r w:rsidRPr="002A0D70">
        <w:rPr>
          <w:sz w:val="24"/>
        </w:rPr>
        <w:t>de</w:t>
      </w:r>
      <w:r w:rsidRPr="002A0D70">
        <w:rPr>
          <w:spacing w:val="1"/>
          <w:sz w:val="24"/>
        </w:rPr>
        <w:t xml:space="preserve"> </w:t>
      </w:r>
      <w:r w:rsidRPr="002A0D70">
        <w:rPr>
          <w:sz w:val="24"/>
        </w:rPr>
        <w:t>posgrado, u</w:t>
      </w:r>
      <w:r w:rsidRPr="002A0D70">
        <w:rPr>
          <w:spacing w:val="2"/>
          <w:sz w:val="24"/>
        </w:rPr>
        <w:t xml:space="preserve"> </w:t>
      </w:r>
      <w:r w:rsidRPr="002A0D70">
        <w:rPr>
          <w:sz w:val="24"/>
        </w:rPr>
        <w:t>otras actividades relacionadas</w:t>
      </w:r>
      <w:r w:rsidRPr="002A0D70">
        <w:rPr>
          <w:sz w:val="24"/>
        </w:rPr>
        <w:t xml:space="preserve">. </w:t>
      </w:r>
      <w:bookmarkStart w:id="0" w:name="_Hlk129241819"/>
      <w:r w:rsidRPr="002A0D70">
        <w:rPr>
          <w:rFonts w:ascii="Alef" w:hAnsi="Alef" w:cs="Alef"/>
          <w:color w:val="3B3838" w:themeColor="background2" w:themeShade="40"/>
          <w:sz w:val="20"/>
          <w:szCs w:val="20"/>
        </w:rPr>
        <w:t>Las universidades participantes tendrán un número de plazas como universidad de origen igual al n</w:t>
      </w:r>
      <w:r w:rsidRPr="002A0D70">
        <w:rPr>
          <w:rFonts w:ascii="Alef" w:hAnsi="Alef" w:cs="Alef"/>
          <w:color w:val="3B3838" w:themeColor="background2" w:themeShade="40"/>
          <w:sz w:val="20"/>
          <w:szCs w:val="20"/>
        </w:rPr>
        <w:t>ú</w:t>
      </w:r>
      <w:r w:rsidRPr="002A0D70">
        <w:rPr>
          <w:rFonts w:ascii="Alef" w:hAnsi="Alef" w:cs="Alef"/>
          <w:color w:val="3B3838" w:themeColor="background2" w:themeShade="40"/>
          <w:sz w:val="20"/>
          <w:szCs w:val="20"/>
        </w:rPr>
        <w:t xml:space="preserve">mero de plazas que </w:t>
      </w:r>
      <w:r w:rsidRPr="002A0D70">
        <w:rPr>
          <w:rFonts w:ascii="Alef" w:hAnsi="Alef" w:cs="Alef"/>
          <w:color w:val="3B3838" w:themeColor="background2" w:themeShade="40"/>
          <w:sz w:val="20"/>
          <w:szCs w:val="20"/>
        </w:rPr>
        <w:t>ofrecen</w:t>
      </w:r>
      <w:r w:rsidRPr="002A0D70">
        <w:rPr>
          <w:rFonts w:ascii="Alef" w:hAnsi="Alef" w:cs="Alef"/>
          <w:color w:val="3B3838" w:themeColor="background2" w:themeShade="40"/>
          <w:sz w:val="20"/>
          <w:szCs w:val="20"/>
        </w:rPr>
        <w:t xml:space="preserve"> como destino</w:t>
      </w:r>
      <w:r w:rsidRPr="002A0D70">
        <w:rPr>
          <w:rFonts w:ascii="Alef" w:hAnsi="Alef" w:cs="Alef"/>
          <w:color w:val="3B3838" w:themeColor="background2" w:themeShade="40"/>
          <w:sz w:val="20"/>
          <w:szCs w:val="20"/>
        </w:rPr>
        <w:t>.</w:t>
      </w:r>
    </w:p>
    <w:bookmarkEnd w:id="0"/>
    <w:p w14:paraId="47C4F4EB" w14:textId="5578CAC4" w:rsidR="00020B3A" w:rsidRDefault="002A0D70" w:rsidP="000D1468">
      <w:pPr>
        <w:pStyle w:val="Prrafodelista"/>
        <w:numPr>
          <w:ilvl w:val="0"/>
          <w:numId w:val="2"/>
        </w:numPr>
        <w:spacing w:before="1" w:line="360" w:lineRule="auto"/>
        <w:ind w:left="119" w:right="117"/>
        <w:jc w:val="both"/>
        <w:rPr>
          <w:rFonts w:ascii="Alef" w:hAnsi="Alef" w:cs="Alef"/>
          <w:color w:val="3B3838" w:themeColor="background2" w:themeShade="40"/>
          <w:sz w:val="20"/>
          <w:szCs w:val="20"/>
        </w:rPr>
      </w:pPr>
      <w:r>
        <w:rPr>
          <w:rFonts w:ascii="Alef" w:hAnsi="Alef" w:cs="Alef"/>
          <w:color w:val="3B3838" w:themeColor="background2" w:themeShade="40"/>
          <w:sz w:val="20"/>
          <w:szCs w:val="20"/>
        </w:rPr>
        <w:t>En el numeral 15 se modifica el número de postulaciones que puede realizar un interesado, pasando de ser preferentemente a 3 universidades a que sea un máximo de 3 postulaciones.</w:t>
      </w:r>
    </w:p>
    <w:p w14:paraId="16079CD8" w14:textId="766E9D8B" w:rsidR="005F4BDB" w:rsidRDefault="005F4BDB" w:rsidP="000D1468">
      <w:pPr>
        <w:pStyle w:val="Prrafodelista"/>
        <w:numPr>
          <w:ilvl w:val="0"/>
          <w:numId w:val="2"/>
        </w:numPr>
        <w:spacing w:before="1" w:line="360" w:lineRule="auto"/>
        <w:ind w:left="119" w:right="117"/>
        <w:jc w:val="both"/>
        <w:rPr>
          <w:rFonts w:ascii="Alef" w:hAnsi="Alef" w:cs="Alef"/>
          <w:color w:val="3B3838" w:themeColor="background2" w:themeShade="40"/>
          <w:sz w:val="20"/>
          <w:szCs w:val="20"/>
        </w:rPr>
      </w:pPr>
      <w:r>
        <w:rPr>
          <w:rFonts w:ascii="Alef" w:hAnsi="Alef" w:cs="Alef"/>
          <w:color w:val="3B3838" w:themeColor="background2" w:themeShade="40"/>
          <w:sz w:val="20"/>
          <w:szCs w:val="20"/>
        </w:rPr>
        <w:t>En los numerales 12 y 13 se ha sustituido la figura del delegado asesor por la del Coordinador Institucional dado que el Coordinador Institucional está definido en el numeral 10 como:</w:t>
      </w:r>
      <w:r w:rsidRPr="005F4BDB">
        <w:rPr>
          <w:sz w:val="24"/>
        </w:rPr>
        <w:t xml:space="preserve"> </w:t>
      </w:r>
      <w:r>
        <w:rPr>
          <w:sz w:val="24"/>
        </w:rPr>
        <w:t>aquel que el</w:t>
      </w:r>
      <w:r>
        <w:rPr>
          <w:spacing w:val="1"/>
          <w:sz w:val="24"/>
        </w:rPr>
        <w:t xml:space="preserve"> </w:t>
      </w:r>
      <w:r>
        <w:rPr>
          <w:sz w:val="24"/>
        </w:rPr>
        <w:t>Rector designe a esos efectos y por ausencia de designación expresa, será el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Delegado</w:t>
      </w:r>
      <w:proofErr w:type="gramEnd"/>
      <w:r>
        <w:rPr>
          <w:sz w:val="24"/>
        </w:rPr>
        <w:t xml:space="preserve"> </w:t>
      </w:r>
      <w:r>
        <w:rPr>
          <w:sz w:val="24"/>
        </w:rPr>
        <w:t>Asesor ante AUGM”</w:t>
      </w:r>
    </w:p>
    <w:p w14:paraId="69D9014F" w14:textId="3EB095A1" w:rsidR="00020B3A" w:rsidRPr="006B3B88" w:rsidRDefault="005F4BDB" w:rsidP="006B3B88">
      <w:pPr>
        <w:pStyle w:val="Prrafodelista"/>
        <w:numPr>
          <w:ilvl w:val="0"/>
          <w:numId w:val="2"/>
        </w:numPr>
        <w:spacing w:before="1" w:line="360" w:lineRule="auto"/>
        <w:ind w:left="119" w:right="117"/>
        <w:jc w:val="both"/>
        <w:rPr>
          <w:rFonts w:ascii="Alef" w:hAnsi="Alef" w:cs="Alef"/>
          <w:color w:val="3B3838" w:themeColor="background2" w:themeShade="40"/>
          <w:sz w:val="20"/>
          <w:szCs w:val="20"/>
        </w:rPr>
      </w:pPr>
      <w:r>
        <w:rPr>
          <w:rFonts w:ascii="Alef" w:hAnsi="Alef" w:cs="Alef"/>
          <w:color w:val="3B3838" w:themeColor="background2" w:themeShade="40"/>
          <w:sz w:val="20"/>
          <w:szCs w:val="20"/>
        </w:rPr>
        <w:t>En el numeral 23 literal i se ha ajustado la redacción pasando de</w:t>
      </w:r>
      <w:proofErr w:type="gramStart"/>
      <w:r>
        <w:rPr>
          <w:rFonts w:ascii="Alef" w:hAnsi="Alef" w:cs="Alef"/>
          <w:color w:val="3B3838" w:themeColor="background2" w:themeShade="40"/>
          <w:sz w:val="20"/>
          <w:szCs w:val="20"/>
        </w:rPr>
        <w:t>:</w:t>
      </w:r>
      <w:r w:rsidR="006B3B88" w:rsidRPr="006B3B88">
        <w:rPr>
          <w:sz w:val="24"/>
        </w:rPr>
        <w:t xml:space="preserve"> </w:t>
      </w:r>
      <w:r w:rsidR="006B3B88">
        <w:rPr>
          <w:sz w:val="24"/>
        </w:rPr>
        <w:t xml:space="preserve"> “</w:t>
      </w:r>
      <w:proofErr w:type="gramEnd"/>
      <w:r w:rsidR="006B3B88" w:rsidRPr="006B3B88">
        <w:rPr>
          <w:sz w:val="24"/>
        </w:rPr>
        <w:t xml:space="preserve">Remitir en los plazos previstos los formularios </w:t>
      </w:r>
      <w:r w:rsidR="006B3B88" w:rsidRPr="006B3B88">
        <w:rPr>
          <w:strike/>
          <w:sz w:val="24"/>
          <w:shd w:val="clear" w:color="auto" w:fill="FFFF00"/>
        </w:rPr>
        <w:t>al Delegado Asesor y al Coordinador Académico de la actividad de posgrado, correspondientes</w:t>
      </w:r>
      <w:r w:rsidR="006B3B88" w:rsidRPr="006B3B88">
        <w:rPr>
          <w:sz w:val="24"/>
        </w:rPr>
        <w:t xml:space="preserve"> a la universidad de destino, </w:t>
      </w:r>
      <w:r w:rsidR="006B3B88" w:rsidRPr="006B3B88">
        <w:rPr>
          <w:strike/>
          <w:sz w:val="24"/>
          <w:shd w:val="clear" w:color="auto" w:fill="FFFF00"/>
        </w:rPr>
        <w:t>y a la Secretaría Ejecutiva.</w:t>
      </w:r>
      <w:r w:rsidR="006B3B88" w:rsidRPr="006B3B88">
        <w:rPr>
          <w:sz w:val="24"/>
        </w:rPr>
        <w:t xml:space="preserve"> Dicho formulario debe contar con la información requerida y las firmas de la máxima autoridad de la unidad académica respectiva, </w:t>
      </w:r>
      <w:proofErr w:type="gramStart"/>
      <w:r w:rsidR="006B3B88" w:rsidRPr="006B3B88">
        <w:rPr>
          <w:sz w:val="24"/>
        </w:rPr>
        <w:t xml:space="preserve">el </w:t>
      </w:r>
      <w:r w:rsidR="006B3B88" w:rsidRPr="006B3B88">
        <w:rPr>
          <w:sz w:val="24"/>
        </w:rPr>
        <w:t xml:space="preserve"> Delegado</w:t>
      </w:r>
      <w:proofErr w:type="gramEnd"/>
      <w:r w:rsidR="006B3B88" w:rsidRPr="006B3B88">
        <w:rPr>
          <w:sz w:val="24"/>
        </w:rPr>
        <w:t xml:space="preserve"> Asesor …. </w:t>
      </w:r>
      <w:r w:rsidR="006B3B88">
        <w:rPr>
          <w:sz w:val="24"/>
        </w:rPr>
        <w:t>“</w:t>
      </w:r>
    </w:p>
    <w:p w14:paraId="7263DEAA" w14:textId="041729C5" w:rsidR="005F4BDB" w:rsidRDefault="005F4BDB" w:rsidP="005F4BDB">
      <w:pPr>
        <w:pStyle w:val="Prrafodelista"/>
        <w:spacing w:before="1" w:line="360" w:lineRule="auto"/>
        <w:ind w:left="119" w:right="117"/>
        <w:jc w:val="both"/>
        <w:rPr>
          <w:rFonts w:ascii="Alef" w:hAnsi="Alef" w:cs="Alef"/>
          <w:color w:val="3B3838" w:themeColor="background2" w:themeShade="40"/>
          <w:sz w:val="20"/>
          <w:szCs w:val="20"/>
        </w:rPr>
      </w:pPr>
      <w:r>
        <w:rPr>
          <w:rFonts w:ascii="Alef" w:hAnsi="Alef" w:cs="Alef"/>
          <w:color w:val="3B3838" w:themeColor="background2" w:themeShade="40"/>
          <w:sz w:val="20"/>
          <w:szCs w:val="20"/>
        </w:rPr>
        <w:t>a:</w:t>
      </w:r>
      <w:r w:rsidR="006B3B88" w:rsidRPr="006B3B88">
        <w:rPr>
          <w:sz w:val="24"/>
        </w:rPr>
        <w:t xml:space="preserve"> </w:t>
      </w:r>
      <w:r w:rsidR="006B3B88">
        <w:rPr>
          <w:sz w:val="24"/>
        </w:rPr>
        <w:t>“</w:t>
      </w:r>
      <w:r w:rsidR="006B3B88" w:rsidRPr="00A253B9">
        <w:rPr>
          <w:sz w:val="24"/>
        </w:rPr>
        <w:t>Remitir en los plazos previstos los formularios</w:t>
      </w:r>
      <w:r w:rsidR="006B3B88">
        <w:rPr>
          <w:sz w:val="24"/>
        </w:rPr>
        <w:t xml:space="preserve"> </w:t>
      </w:r>
      <w:r w:rsidR="006B3B88" w:rsidRPr="006B3B88">
        <w:rPr>
          <w:sz w:val="24"/>
        </w:rPr>
        <w:t xml:space="preserve">y toda </w:t>
      </w:r>
      <w:proofErr w:type="gramStart"/>
      <w:r w:rsidR="006B3B88" w:rsidRPr="006B3B88">
        <w:rPr>
          <w:sz w:val="24"/>
        </w:rPr>
        <w:t>otra  documentación</w:t>
      </w:r>
      <w:proofErr w:type="gramEnd"/>
      <w:r w:rsidR="006B3B88" w:rsidRPr="006B3B88">
        <w:rPr>
          <w:sz w:val="24"/>
        </w:rPr>
        <w:t xml:space="preserve"> que corresponda a la universidad de destino</w:t>
      </w:r>
      <w:r w:rsidR="006B3B88" w:rsidRPr="006B3B88">
        <w:rPr>
          <w:strike/>
          <w:sz w:val="24"/>
        </w:rPr>
        <w:t>.</w:t>
      </w:r>
      <w:r w:rsidR="006B3B88" w:rsidRPr="006B3B88">
        <w:rPr>
          <w:sz w:val="24"/>
        </w:rPr>
        <w:t xml:space="preserve"> Dicho formulario debe contar con la información requerida y las firmas de: la máxima autoridad de la unidad académica respectiva, el Coordinador Institucional (si éste no fuera el </w:t>
      </w:r>
      <w:proofErr w:type="gramStart"/>
      <w:r w:rsidR="006B3B88" w:rsidRPr="006B3B88">
        <w:rPr>
          <w:sz w:val="24"/>
        </w:rPr>
        <w:t>Delegado</w:t>
      </w:r>
      <w:proofErr w:type="gramEnd"/>
      <w:r w:rsidR="006B3B88" w:rsidRPr="006B3B88">
        <w:rPr>
          <w:sz w:val="24"/>
        </w:rPr>
        <w:t xml:space="preserve"> Asesor)</w:t>
      </w:r>
      <w:r w:rsidR="006B3B88">
        <w:rPr>
          <w:sz w:val="24"/>
        </w:rPr>
        <w:t>, el Delegado Asesor…</w:t>
      </w:r>
      <w:r w:rsidR="006B3B88" w:rsidRPr="006B3B88">
        <w:rPr>
          <w:sz w:val="24"/>
        </w:rPr>
        <w:t>”</w:t>
      </w:r>
    </w:p>
    <w:p w14:paraId="34143C0C" w14:textId="07506FE1" w:rsidR="005F4BDB" w:rsidRDefault="005F4BDB" w:rsidP="005F4BDB">
      <w:pPr>
        <w:pStyle w:val="Prrafodelista"/>
        <w:spacing w:before="1" w:line="360" w:lineRule="auto"/>
        <w:ind w:left="119" w:right="117"/>
        <w:jc w:val="both"/>
        <w:rPr>
          <w:rFonts w:ascii="Alef" w:hAnsi="Alef" w:cs="Alef"/>
          <w:color w:val="3B3838" w:themeColor="background2" w:themeShade="40"/>
          <w:sz w:val="20"/>
          <w:szCs w:val="20"/>
        </w:rPr>
      </w:pPr>
    </w:p>
    <w:p w14:paraId="33E0C436" w14:textId="50D40B4E" w:rsidR="005F4BDB" w:rsidRDefault="005F4BDB" w:rsidP="005F4BDB">
      <w:pPr>
        <w:pStyle w:val="Prrafodelista"/>
        <w:spacing w:before="1" w:line="360" w:lineRule="auto"/>
        <w:ind w:left="119" w:right="117"/>
        <w:jc w:val="both"/>
        <w:rPr>
          <w:rFonts w:ascii="Alef" w:hAnsi="Alef" w:cs="Alef"/>
          <w:color w:val="3B3838" w:themeColor="background2" w:themeShade="40"/>
          <w:sz w:val="20"/>
          <w:szCs w:val="20"/>
        </w:rPr>
      </w:pPr>
    </w:p>
    <w:p w14:paraId="71C2984F" w14:textId="5159FAE5" w:rsidR="005F4BDB" w:rsidRDefault="005F4BDB" w:rsidP="005F4BDB">
      <w:pPr>
        <w:pStyle w:val="Prrafodelista"/>
        <w:spacing w:before="1" w:line="360" w:lineRule="auto"/>
        <w:ind w:left="119" w:right="117"/>
        <w:jc w:val="both"/>
        <w:rPr>
          <w:rFonts w:ascii="Alef" w:hAnsi="Alef" w:cs="Alef"/>
          <w:color w:val="3B3838" w:themeColor="background2" w:themeShade="40"/>
          <w:sz w:val="20"/>
          <w:szCs w:val="20"/>
        </w:rPr>
      </w:pPr>
    </w:p>
    <w:p w14:paraId="03FB0820" w14:textId="50735A70" w:rsidR="005F4BDB" w:rsidRDefault="005F4BDB" w:rsidP="005F4BDB">
      <w:pPr>
        <w:pStyle w:val="Prrafodelista"/>
        <w:spacing w:before="1" w:line="360" w:lineRule="auto"/>
        <w:ind w:left="119" w:right="117"/>
        <w:jc w:val="both"/>
        <w:rPr>
          <w:rFonts w:ascii="Alef" w:hAnsi="Alef" w:cs="Alef"/>
          <w:color w:val="3B3838" w:themeColor="background2" w:themeShade="40"/>
          <w:sz w:val="20"/>
          <w:szCs w:val="20"/>
        </w:rPr>
      </w:pPr>
    </w:p>
    <w:p w14:paraId="277B130F" w14:textId="367A12A3" w:rsidR="00C20546" w:rsidRDefault="00C20546" w:rsidP="00C20546">
      <w:pPr>
        <w:spacing w:before="93" w:line="360" w:lineRule="auto"/>
        <w:ind w:right="115"/>
        <w:jc w:val="both"/>
      </w:pPr>
    </w:p>
    <w:p w14:paraId="0429D22F" w14:textId="5370F5D1" w:rsidR="00C20546" w:rsidRDefault="00C20546" w:rsidP="00C20546">
      <w:pPr>
        <w:spacing w:before="93" w:line="360" w:lineRule="auto"/>
        <w:ind w:right="115"/>
        <w:jc w:val="both"/>
      </w:pPr>
    </w:p>
    <w:p w14:paraId="2F933B3A" w14:textId="77777777" w:rsidR="00C20546" w:rsidRPr="00BC162F" w:rsidRDefault="00C20546" w:rsidP="00C20546">
      <w:pPr>
        <w:spacing w:before="93" w:line="360" w:lineRule="auto"/>
        <w:ind w:right="115"/>
        <w:jc w:val="both"/>
      </w:pPr>
    </w:p>
    <w:p w14:paraId="2A75F098" w14:textId="7E8AB2E2" w:rsidR="008D69F3" w:rsidRPr="00BC162F" w:rsidRDefault="002C54AB" w:rsidP="00A637EA">
      <w:pPr>
        <w:pStyle w:val="Prrafodelista"/>
        <w:numPr>
          <w:ilvl w:val="0"/>
          <w:numId w:val="2"/>
        </w:numPr>
        <w:spacing w:before="93" w:line="360" w:lineRule="auto"/>
        <w:ind w:right="115"/>
        <w:jc w:val="both"/>
        <w:rPr>
          <w:rStyle w:val="markedcontent"/>
        </w:rPr>
      </w:pPr>
      <w:r w:rsidRPr="00BC162F">
        <w:rPr>
          <w:rStyle w:val="markedcontent"/>
        </w:rPr>
        <w:t xml:space="preserve">Se ha </w:t>
      </w:r>
      <w:r w:rsidR="008D69F3" w:rsidRPr="00BC162F">
        <w:rPr>
          <w:rStyle w:val="markedcontent"/>
        </w:rPr>
        <w:t>adecuado</w:t>
      </w:r>
      <w:r w:rsidRPr="00BC162F">
        <w:rPr>
          <w:rStyle w:val="markedcontent"/>
        </w:rPr>
        <w:t xml:space="preserve"> la referencia al </w:t>
      </w:r>
      <w:r w:rsidR="00746892" w:rsidRPr="00BC162F">
        <w:rPr>
          <w:rStyle w:val="markedcontent"/>
        </w:rPr>
        <w:t>S</w:t>
      </w:r>
      <w:r w:rsidRPr="00BC162F">
        <w:rPr>
          <w:rStyle w:val="markedcontent"/>
        </w:rPr>
        <w:t xml:space="preserve">eguro </w:t>
      </w:r>
      <w:r w:rsidR="008D69F3" w:rsidRPr="00BC162F">
        <w:rPr>
          <w:rStyle w:val="markedcontent"/>
        </w:rPr>
        <w:t xml:space="preserve">de </w:t>
      </w:r>
      <w:r w:rsidR="00746892" w:rsidRPr="00BC162F">
        <w:rPr>
          <w:rStyle w:val="markedcontent"/>
        </w:rPr>
        <w:t>V</w:t>
      </w:r>
      <w:r w:rsidR="008D69F3" w:rsidRPr="00BC162F">
        <w:rPr>
          <w:rStyle w:val="markedcontent"/>
        </w:rPr>
        <w:t xml:space="preserve">ida </w:t>
      </w:r>
      <w:r w:rsidRPr="00BC162F">
        <w:rPr>
          <w:rStyle w:val="markedcontent"/>
        </w:rPr>
        <w:t>como “</w:t>
      </w:r>
      <w:r w:rsidR="008D53C4" w:rsidRPr="00BC162F">
        <w:rPr>
          <w:rStyle w:val="markedcontent"/>
        </w:rPr>
        <w:t>S</w:t>
      </w:r>
      <w:r w:rsidRPr="00BC162F">
        <w:rPr>
          <w:rStyle w:val="markedcontent"/>
        </w:rPr>
        <w:t xml:space="preserve">eguro de </w:t>
      </w:r>
      <w:r w:rsidR="008D53C4" w:rsidRPr="00BC162F">
        <w:rPr>
          <w:rStyle w:val="markedcontent"/>
        </w:rPr>
        <w:t>S</w:t>
      </w:r>
      <w:r w:rsidRPr="00BC162F">
        <w:rPr>
          <w:rStyle w:val="markedcontent"/>
        </w:rPr>
        <w:t xml:space="preserve">alud, </w:t>
      </w:r>
      <w:r w:rsidR="008D53C4" w:rsidRPr="00BC162F">
        <w:rPr>
          <w:rStyle w:val="markedcontent"/>
        </w:rPr>
        <w:t xml:space="preserve">Asistencia </w:t>
      </w:r>
      <w:r w:rsidR="008D69F3" w:rsidRPr="00BC162F">
        <w:rPr>
          <w:rStyle w:val="markedcontent"/>
        </w:rPr>
        <w:t xml:space="preserve">y </w:t>
      </w:r>
      <w:r w:rsidR="008D53C4" w:rsidRPr="00BC162F">
        <w:rPr>
          <w:rStyle w:val="markedcontent"/>
        </w:rPr>
        <w:t>R</w:t>
      </w:r>
      <w:r w:rsidR="008D69F3" w:rsidRPr="00BC162F">
        <w:rPr>
          <w:rStyle w:val="markedcontent"/>
        </w:rPr>
        <w:t xml:space="preserve">epatriación”, </w:t>
      </w:r>
      <w:proofErr w:type="gramStart"/>
      <w:r w:rsidR="008D69F3" w:rsidRPr="00BC162F">
        <w:rPr>
          <w:rStyle w:val="markedcontent"/>
        </w:rPr>
        <w:t>en razón de</w:t>
      </w:r>
      <w:proofErr w:type="gramEnd"/>
      <w:r w:rsidR="008D69F3" w:rsidRPr="00BC162F">
        <w:rPr>
          <w:rStyle w:val="markedcontent"/>
        </w:rPr>
        <w:t xml:space="preserve"> que un seguro de vida resultaría extremadamente oneroso.</w:t>
      </w:r>
    </w:p>
    <w:p w14:paraId="406459CD" w14:textId="64D5EBE1" w:rsidR="005346C6" w:rsidRPr="005346C6" w:rsidRDefault="002C54AB" w:rsidP="000052BE">
      <w:pPr>
        <w:pStyle w:val="Prrafodelista"/>
        <w:numPr>
          <w:ilvl w:val="0"/>
          <w:numId w:val="2"/>
        </w:numPr>
        <w:jc w:val="both"/>
        <w:rPr>
          <w:rStyle w:val="markedcontent"/>
          <w:spacing w:val="-1"/>
        </w:rPr>
      </w:pPr>
      <w:r w:rsidRPr="00BC162F">
        <w:rPr>
          <w:rStyle w:val="markedcontent"/>
        </w:rPr>
        <w:t xml:space="preserve">Se ha agregado una disposición transitoria respecto a que el </w:t>
      </w:r>
      <w:r w:rsidR="008D53C4" w:rsidRPr="00BC162F">
        <w:rPr>
          <w:rStyle w:val="markedcontent"/>
        </w:rPr>
        <w:t>S</w:t>
      </w:r>
      <w:r w:rsidRPr="00BC162F">
        <w:rPr>
          <w:rStyle w:val="markedcontent"/>
        </w:rPr>
        <w:t xml:space="preserve">eguro de </w:t>
      </w:r>
      <w:r w:rsidR="008D53C4" w:rsidRPr="00BC162F">
        <w:rPr>
          <w:rStyle w:val="markedcontent"/>
        </w:rPr>
        <w:t>S</w:t>
      </w:r>
      <w:r w:rsidRPr="00BC162F">
        <w:rPr>
          <w:rStyle w:val="markedcontent"/>
        </w:rPr>
        <w:t>alud debe incluir</w:t>
      </w:r>
      <w:r w:rsidR="008D53C4" w:rsidRPr="00BC162F">
        <w:rPr>
          <w:rStyle w:val="markedcontent"/>
        </w:rPr>
        <w:t xml:space="preserve"> la cobertura por COVID 19.</w:t>
      </w:r>
    </w:p>
    <w:p w14:paraId="7DC711D8" w14:textId="59047604" w:rsidR="005346C6" w:rsidRDefault="005346C6" w:rsidP="005346C6">
      <w:pPr>
        <w:pStyle w:val="Prrafodelista"/>
        <w:jc w:val="both"/>
        <w:rPr>
          <w:rStyle w:val="markedcontent"/>
        </w:rPr>
      </w:pPr>
    </w:p>
    <w:p w14:paraId="1B305CAF" w14:textId="77777777" w:rsidR="005346C6" w:rsidRPr="005346C6" w:rsidRDefault="005346C6" w:rsidP="005346C6">
      <w:pPr>
        <w:pStyle w:val="Prrafodelista"/>
        <w:jc w:val="both"/>
        <w:rPr>
          <w:rStyle w:val="markedcontent"/>
          <w:spacing w:val="-1"/>
        </w:rPr>
      </w:pPr>
    </w:p>
    <w:p w14:paraId="0F07E508" w14:textId="65384D0F" w:rsidR="002C54AB" w:rsidRPr="005346C6" w:rsidRDefault="001A57F6" w:rsidP="000052BE">
      <w:pPr>
        <w:pStyle w:val="Prrafodelista"/>
        <w:numPr>
          <w:ilvl w:val="0"/>
          <w:numId w:val="2"/>
        </w:numPr>
        <w:jc w:val="both"/>
        <w:rPr>
          <w:spacing w:val="-1"/>
        </w:rPr>
      </w:pPr>
      <w:r w:rsidRPr="005346C6">
        <w:rPr>
          <w:spacing w:val="-1"/>
        </w:rPr>
        <w:t>En calidad de piloto se establece el funcionamiento de la convocatoria</w:t>
      </w:r>
      <w:r w:rsidR="009366C3">
        <w:rPr>
          <w:spacing w:val="-1"/>
        </w:rPr>
        <w:t xml:space="preserve"> para el segundo llamado </w:t>
      </w:r>
      <w:proofErr w:type="gramStart"/>
      <w:r w:rsidR="009366C3">
        <w:rPr>
          <w:spacing w:val="-1"/>
        </w:rPr>
        <w:t xml:space="preserve">2023 </w:t>
      </w:r>
      <w:r w:rsidRPr="005346C6">
        <w:rPr>
          <w:spacing w:val="-1"/>
        </w:rPr>
        <w:t xml:space="preserve"> de</w:t>
      </w:r>
      <w:proofErr w:type="gramEnd"/>
      <w:r w:rsidRPr="005346C6">
        <w:rPr>
          <w:spacing w:val="-1"/>
        </w:rPr>
        <w:t xml:space="preserve"> la siguiente forma:</w:t>
      </w:r>
    </w:p>
    <w:p w14:paraId="1E0C3BD3" w14:textId="39B98A09" w:rsidR="001A57F6" w:rsidRPr="00875F4D" w:rsidRDefault="001A57F6" w:rsidP="001A57F6">
      <w:pPr>
        <w:spacing w:before="94" w:line="360" w:lineRule="auto"/>
        <w:jc w:val="both"/>
        <w:rPr>
          <w:rFonts w:ascii="Alef" w:hAnsi="Alef" w:cs="Alef"/>
          <w:color w:val="3B3838" w:themeColor="background2" w:themeShade="40"/>
          <w:sz w:val="20"/>
          <w:szCs w:val="20"/>
        </w:rPr>
      </w:pPr>
      <w:r w:rsidRPr="005346C6">
        <w:rPr>
          <w:rFonts w:ascii="Alef" w:hAnsi="Alef" w:cs="Alef"/>
          <w:color w:val="3B3838" w:themeColor="background2" w:themeShade="40"/>
          <w:sz w:val="20"/>
          <w:szCs w:val="20"/>
        </w:rPr>
        <w:t xml:space="preserve">Los </w:t>
      </w:r>
      <w:r w:rsidRPr="00875F4D">
        <w:rPr>
          <w:rFonts w:ascii="Alef" w:hAnsi="Alef" w:cs="Alef"/>
          <w:color w:val="3B3838" w:themeColor="background2" w:themeShade="40"/>
          <w:sz w:val="20"/>
          <w:szCs w:val="20"/>
        </w:rPr>
        <w:t>postulantes deberán presenta</w:t>
      </w:r>
      <w:r w:rsidR="005346C6" w:rsidRPr="005346C6">
        <w:rPr>
          <w:rFonts w:ascii="Alef" w:hAnsi="Alef" w:cs="Alef"/>
          <w:color w:val="3B3838" w:themeColor="background2" w:themeShade="40"/>
          <w:sz w:val="20"/>
          <w:szCs w:val="20"/>
        </w:rPr>
        <w:t>r ante su universidad de origen</w:t>
      </w:r>
      <w:r w:rsidRPr="00875F4D">
        <w:rPr>
          <w:rFonts w:ascii="Alef" w:hAnsi="Alef" w:cs="Alef"/>
          <w:color w:val="3B3838" w:themeColor="background2" w:themeShade="40"/>
          <w:sz w:val="20"/>
          <w:szCs w:val="20"/>
        </w:rPr>
        <w:t xml:space="preserve"> el Formulario</w:t>
      </w:r>
      <w:r w:rsidR="009366C3">
        <w:rPr>
          <w:rFonts w:ascii="Alef" w:hAnsi="Alef" w:cs="Alef"/>
          <w:color w:val="3B3838" w:themeColor="background2" w:themeShade="40"/>
          <w:sz w:val="20"/>
          <w:szCs w:val="20"/>
        </w:rPr>
        <w:t xml:space="preserve"> de </w:t>
      </w:r>
      <w:proofErr w:type="gramStart"/>
      <w:r w:rsidR="009366C3">
        <w:rPr>
          <w:rFonts w:ascii="Alef" w:hAnsi="Alef" w:cs="Alef"/>
          <w:color w:val="3B3838" w:themeColor="background2" w:themeShade="40"/>
          <w:sz w:val="20"/>
          <w:szCs w:val="20"/>
        </w:rPr>
        <w:t>Postulación</w:t>
      </w:r>
      <w:r w:rsidRPr="00875F4D">
        <w:rPr>
          <w:rFonts w:ascii="Alef" w:hAnsi="Alef" w:cs="Alef"/>
          <w:color w:val="3B3838" w:themeColor="background2" w:themeShade="40"/>
          <w:sz w:val="20"/>
          <w:szCs w:val="20"/>
        </w:rPr>
        <w:t xml:space="preserve"> </w:t>
      </w:r>
      <w:r w:rsidRPr="005346C6">
        <w:rPr>
          <w:rFonts w:ascii="Alef" w:hAnsi="Alef" w:cs="Alef"/>
          <w:color w:val="3B3838" w:themeColor="background2" w:themeShade="40"/>
          <w:sz w:val="20"/>
          <w:szCs w:val="20"/>
        </w:rPr>
        <w:t xml:space="preserve"> </w:t>
      </w:r>
      <w:r w:rsidRPr="00875F4D">
        <w:rPr>
          <w:rFonts w:ascii="Alef" w:hAnsi="Alef" w:cs="Alef"/>
          <w:color w:val="3B3838" w:themeColor="background2" w:themeShade="40"/>
          <w:sz w:val="20"/>
          <w:szCs w:val="20"/>
        </w:rPr>
        <w:t>completo</w:t>
      </w:r>
      <w:proofErr w:type="gramEnd"/>
      <w:r w:rsidRPr="00875F4D">
        <w:rPr>
          <w:rFonts w:ascii="Alef" w:hAnsi="Alef" w:cs="Alef"/>
          <w:color w:val="3B3838" w:themeColor="background2" w:themeShade="40"/>
          <w:sz w:val="20"/>
          <w:szCs w:val="20"/>
        </w:rPr>
        <w:t xml:space="preserve"> con el Plan de </w:t>
      </w:r>
      <w:r w:rsidRPr="005346C6">
        <w:rPr>
          <w:rFonts w:ascii="Alef" w:hAnsi="Alef" w:cs="Alef"/>
          <w:color w:val="3B3838" w:themeColor="background2" w:themeShade="40"/>
          <w:sz w:val="20"/>
          <w:szCs w:val="20"/>
        </w:rPr>
        <w:t xml:space="preserve">actividades </w:t>
      </w:r>
      <w:r w:rsidRPr="00875F4D">
        <w:rPr>
          <w:rFonts w:ascii="Alef" w:hAnsi="Alef" w:cs="Alef"/>
          <w:color w:val="3B3838" w:themeColor="background2" w:themeShade="40"/>
          <w:sz w:val="20"/>
          <w:szCs w:val="20"/>
        </w:rPr>
        <w:t xml:space="preserve"> avalado por</w:t>
      </w:r>
      <w:r w:rsidR="009366C3">
        <w:rPr>
          <w:rFonts w:ascii="Alef" w:hAnsi="Alef" w:cs="Alef"/>
          <w:color w:val="3B3838" w:themeColor="background2" w:themeShade="40"/>
          <w:sz w:val="20"/>
          <w:szCs w:val="20"/>
        </w:rPr>
        <w:t xml:space="preserve"> su tutor </w:t>
      </w:r>
      <w:r w:rsidRPr="005346C6">
        <w:rPr>
          <w:rFonts w:ascii="Alef" w:hAnsi="Alef" w:cs="Alef"/>
          <w:color w:val="3B3838" w:themeColor="background2" w:themeShade="40"/>
          <w:sz w:val="20"/>
          <w:szCs w:val="20"/>
        </w:rPr>
        <w:t>académic</w:t>
      </w:r>
      <w:r w:rsidR="009366C3">
        <w:rPr>
          <w:rFonts w:ascii="Alef" w:hAnsi="Alef" w:cs="Alef"/>
          <w:color w:val="3B3838" w:themeColor="background2" w:themeShade="40"/>
          <w:sz w:val="20"/>
          <w:szCs w:val="20"/>
        </w:rPr>
        <w:t>o</w:t>
      </w:r>
      <w:r w:rsidRPr="005346C6">
        <w:rPr>
          <w:rFonts w:ascii="Alef" w:hAnsi="Alef" w:cs="Alef"/>
          <w:color w:val="3B3838" w:themeColor="background2" w:themeShade="40"/>
          <w:sz w:val="20"/>
          <w:szCs w:val="20"/>
        </w:rPr>
        <w:t xml:space="preserve"> </w:t>
      </w:r>
      <w:r w:rsidRPr="00875F4D">
        <w:rPr>
          <w:rFonts w:ascii="Alef" w:hAnsi="Alef" w:cs="Alef"/>
          <w:color w:val="3B3838" w:themeColor="background2" w:themeShade="40"/>
          <w:sz w:val="20"/>
          <w:szCs w:val="20"/>
        </w:rPr>
        <w:t>y en conocimiento del Delegado Asesor.</w:t>
      </w:r>
    </w:p>
    <w:p w14:paraId="755E7F87" w14:textId="7F01CD1E" w:rsidR="001A57F6" w:rsidRPr="00875F4D" w:rsidRDefault="001A57F6" w:rsidP="005346C6">
      <w:pPr>
        <w:spacing w:before="94" w:line="360" w:lineRule="auto"/>
        <w:jc w:val="both"/>
        <w:rPr>
          <w:rFonts w:ascii="Alef" w:hAnsi="Alef" w:cs="Alef"/>
          <w:color w:val="3B3838" w:themeColor="background2" w:themeShade="40"/>
          <w:sz w:val="20"/>
          <w:szCs w:val="20"/>
        </w:rPr>
      </w:pPr>
      <w:bookmarkStart w:id="1" w:name="_Hlk129240255"/>
      <w:r w:rsidRPr="00875F4D">
        <w:rPr>
          <w:rFonts w:ascii="Alef" w:hAnsi="Alef" w:cs="Alef"/>
          <w:color w:val="3B3838" w:themeColor="background2" w:themeShade="40"/>
          <w:sz w:val="20"/>
          <w:szCs w:val="20"/>
        </w:rPr>
        <w:t>Junto al Formulario de Inscripción se deberá presentar constancia (mediante nota, carta de aceptación, correo electrónico u otra modalidad) de que el Plan de Trabajo cuenta con el aval  de la universidad de destino</w:t>
      </w:r>
      <w:r w:rsidRPr="005346C6">
        <w:rPr>
          <w:rFonts w:ascii="Alef" w:hAnsi="Alef" w:cs="Alef"/>
          <w:color w:val="3B3838" w:themeColor="background2" w:themeShade="40"/>
          <w:sz w:val="20"/>
          <w:szCs w:val="20"/>
        </w:rPr>
        <w:t>, así como toda otra documentación que le sea requerida por la universidad de origen y</w:t>
      </w:r>
      <w:r w:rsidR="005346C6">
        <w:rPr>
          <w:rFonts w:ascii="Alef" w:hAnsi="Alef" w:cs="Alef"/>
          <w:color w:val="3B3838" w:themeColor="background2" w:themeShade="40"/>
          <w:sz w:val="20"/>
          <w:szCs w:val="20"/>
        </w:rPr>
        <w:t>/</w:t>
      </w:r>
      <w:r w:rsidRPr="005346C6">
        <w:rPr>
          <w:rFonts w:ascii="Alef" w:hAnsi="Alef" w:cs="Alef"/>
          <w:color w:val="3B3838" w:themeColor="background2" w:themeShade="40"/>
          <w:sz w:val="20"/>
          <w:szCs w:val="20"/>
        </w:rPr>
        <w:t>0 de destino.</w:t>
      </w:r>
      <w:bookmarkEnd w:id="1"/>
    </w:p>
    <w:p w14:paraId="454F5627" w14:textId="4E888740" w:rsidR="001A57F6" w:rsidRPr="00875F4D" w:rsidRDefault="001A57F6" w:rsidP="005346C6">
      <w:pPr>
        <w:spacing w:before="93" w:line="360" w:lineRule="auto"/>
        <w:jc w:val="both"/>
        <w:rPr>
          <w:rFonts w:ascii="Alef" w:hAnsi="Alef" w:cs="Alef"/>
          <w:color w:val="3B3838" w:themeColor="background2" w:themeShade="40"/>
          <w:sz w:val="20"/>
          <w:szCs w:val="20"/>
        </w:rPr>
      </w:pPr>
      <w:bookmarkStart w:id="2" w:name="_Hlk129239354"/>
      <w:r w:rsidRPr="00875F4D">
        <w:rPr>
          <w:rFonts w:ascii="Alef" w:hAnsi="Alef" w:cs="Alef"/>
          <w:color w:val="3B3838" w:themeColor="background2" w:themeShade="40"/>
          <w:sz w:val="20"/>
          <w:szCs w:val="20"/>
        </w:rPr>
        <w:t xml:space="preserve">Cada universidad de origen podrá realizar una selección previa de las postulaciones recibidas, en función de sus prioridades institucionales. En caso de que </w:t>
      </w:r>
      <w:proofErr w:type="spellStart"/>
      <w:r w:rsidRPr="00875F4D">
        <w:rPr>
          <w:rFonts w:ascii="Alef" w:hAnsi="Alef" w:cs="Alef"/>
          <w:color w:val="3B3838" w:themeColor="background2" w:themeShade="40"/>
          <w:sz w:val="20"/>
          <w:szCs w:val="20"/>
        </w:rPr>
        <w:t>envie</w:t>
      </w:r>
      <w:proofErr w:type="spellEnd"/>
      <w:r w:rsidRPr="00875F4D">
        <w:rPr>
          <w:rFonts w:ascii="Alef" w:hAnsi="Alef" w:cs="Alef"/>
          <w:color w:val="3B3838" w:themeColor="background2" w:themeShade="40"/>
          <w:sz w:val="20"/>
          <w:szCs w:val="20"/>
        </w:rPr>
        <w:t xml:space="preserve"> a una universidad de destino un numero de postulaciones mayor a la cantidad de plazas que tiene ofertadas, comunicará sus postulaciones con un orden de prelación ya establecido.</w:t>
      </w:r>
    </w:p>
    <w:bookmarkEnd w:id="2"/>
    <w:p w14:paraId="60094304" w14:textId="77777777" w:rsidR="001A57F6" w:rsidRPr="00875F4D" w:rsidRDefault="001A57F6" w:rsidP="001A57F6">
      <w:pPr>
        <w:spacing w:before="93" w:line="362" w:lineRule="auto"/>
        <w:ind w:left="119" w:right="82" w:hanging="1"/>
        <w:rPr>
          <w:rFonts w:ascii="Alef" w:hAnsi="Alef" w:cs="Alef"/>
          <w:color w:val="3B3838" w:themeColor="background2" w:themeShade="40"/>
          <w:sz w:val="20"/>
          <w:szCs w:val="20"/>
        </w:rPr>
      </w:pPr>
      <w:r w:rsidRPr="00875F4D">
        <w:rPr>
          <w:rFonts w:ascii="Alef" w:hAnsi="Alef" w:cs="Alef"/>
          <w:color w:val="3B3838" w:themeColor="background2" w:themeShade="40"/>
          <w:sz w:val="20"/>
          <w:szCs w:val="20"/>
        </w:rPr>
        <w:t>La Universidad de destino será la que determine si admite o no al postulante, comunicando esta decisión a la Universidad de origen, con copia a la Secretaría de AUGM.</w:t>
      </w:r>
    </w:p>
    <w:p w14:paraId="66768043" w14:textId="77777777" w:rsidR="002C54AB" w:rsidRPr="002C54AB" w:rsidRDefault="002C54AB" w:rsidP="002C54AB">
      <w:pPr>
        <w:jc w:val="both"/>
        <w:rPr>
          <w:rFonts w:ascii="Alef" w:hAnsi="Alef" w:cs="Alef"/>
          <w:color w:val="3B3838" w:themeColor="background2" w:themeShade="40"/>
        </w:rPr>
      </w:pPr>
    </w:p>
    <w:sectPr w:rsidR="002C54AB" w:rsidRPr="002C54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Alef">
    <w:altName w:val="Arial"/>
    <w:charset w:val="B1"/>
    <w:family w:val="auto"/>
    <w:pitch w:val="variable"/>
    <w:sig w:usb0="00000807" w:usb1="40000000" w:usb2="00000000" w:usb3="00000000" w:csb0="000000B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F261F"/>
    <w:multiLevelType w:val="hybridMultilevel"/>
    <w:tmpl w:val="4D0AC838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E228DE"/>
    <w:multiLevelType w:val="hybridMultilevel"/>
    <w:tmpl w:val="18EEB39E"/>
    <w:lvl w:ilvl="0" w:tplc="4F18B9AC">
      <w:start w:val="1"/>
      <w:numFmt w:val="decimal"/>
      <w:lvlText w:val="%1."/>
      <w:lvlJc w:val="left"/>
      <w:pPr>
        <w:ind w:left="559" w:hanging="351"/>
        <w:jc w:val="right"/>
      </w:pPr>
      <w:rPr>
        <w:rFonts w:ascii="Calibri" w:eastAsia="Calibri" w:hAnsi="Calibri" w:cs="Calibri" w:hint="default"/>
        <w:w w:val="100"/>
        <w:sz w:val="24"/>
        <w:szCs w:val="24"/>
        <w:lang w:val="es-ES" w:eastAsia="en-US" w:bidi="ar-SA"/>
      </w:rPr>
    </w:lvl>
    <w:lvl w:ilvl="1" w:tplc="A9B2960A">
      <w:start w:val="1"/>
      <w:numFmt w:val="lowerLetter"/>
      <w:lvlText w:val="%2."/>
      <w:lvlJc w:val="left"/>
      <w:pPr>
        <w:ind w:left="698" w:hanging="260"/>
      </w:pPr>
      <w:rPr>
        <w:rFonts w:hint="default"/>
        <w:b/>
        <w:bCs/>
        <w:spacing w:val="-1"/>
        <w:w w:val="100"/>
        <w:lang w:val="es-ES" w:eastAsia="en-US" w:bidi="ar-SA"/>
      </w:rPr>
    </w:lvl>
    <w:lvl w:ilvl="2" w:tplc="958C8502">
      <w:numFmt w:val="bullet"/>
      <w:lvlText w:val="•"/>
      <w:lvlJc w:val="left"/>
      <w:pPr>
        <w:ind w:left="860" w:hanging="260"/>
      </w:pPr>
      <w:rPr>
        <w:rFonts w:hint="default"/>
        <w:lang w:val="es-ES" w:eastAsia="en-US" w:bidi="ar-SA"/>
      </w:rPr>
    </w:lvl>
    <w:lvl w:ilvl="3" w:tplc="04047388">
      <w:numFmt w:val="bullet"/>
      <w:lvlText w:val="•"/>
      <w:lvlJc w:val="left"/>
      <w:pPr>
        <w:ind w:left="1000" w:hanging="260"/>
      </w:pPr>
      <w:rPr>
        <w:rFonts w:hint="default"/>
        <w:lang w:val="es-ES" w:eastAsia="en-US" w:bidi="ar-SA"/>
      </w:rPr>
    </w:lvl>
    <w:lvl w:ilvl="4" w:tplc="A8E02412">
      <w:numFmt w:val="bullet"/>
      <w:lvlText w:val="•"/>
      <w:lvlJc w:val="left"/>
      <w:pPr>
        <w:ind w:left="2119" w:hanging="260"/>
      </w:pPr>
      <w:rPr>
        <w:rFonts w:hint="default"/>
        <w:lang w:val="es-ES" w:eastAsia="en-US" w:bidi="ar-SA"/>
      </w:rPr>
    </w:lvl>
    <w:lvl w:ilvl="5" w:tplc="0A187918">
      <w:numFmt w:val="bullet"/>
      <w:lvlText w:val="•"/>
      <w:lvlJc w:val="left"/>
      <w:pPr>
        <w:ind w:left="3239" w:hanging="260"/>
      </w:pPr>
      <w:rPr>
        <w:rFonts w:hint="default"/>
        <w:lang w:val="es-ES" w:eastAsia="en-US" w:bidi="ar-SA"/>
      </w:rPr>
    </w:lvl>
    <w:lvl w:ilvl="6" w:tplc="24B20860">
      <w:numFmt w:val="bullet"/>
      <w:lvlText w:val="•"/>
      <w:lvlJc w:val="left"/>
      <w:pPr>
        <w:ind w:left="4359" w:hanging="260"/>
      </w:pPr>
      <w:rPr>
        <w:rFonts w:hint="default"/>
        <w:lang w:val="es-ES" w:eastAsia="en-US" w:bidi="ar-SA"/>
      </w:rPr>
    </w:lvl>
    <w:lvl w:ilvl="7" w:tplc="B0E611FC">
      <w:numFmt w:val="bullet"/>
      <w:lvlText w:val="•"/>
      <w:lvlJc w:val="left"/>
      <w:pPr>
        <w:ind w:left="5479" w:hanging="260"/>
      </w:pPr>
      <w:rPr>
        <w:rFonts w:hint="default"/>
        <w:lang w:val="es-ES" w:eastAsia="en-US" w:bidi="ar-SA"/>
      </w:rPr>
    </w:lvl>
    <w:lvl w:ilvl="8" w:tplc="391E7D56">
      <w:numFmt w:val="bullet"/>
      <w:lvlText w:val="•"/>
      <w:lvlJc w:val="left"/>
      <w:pPr>
        <w:ind w:left="6599" w:hanging="260"/>
      </w:pPr>
      <w:rPr>
        <w:rFonts w:hint="default"/>
        <w:lang w:val="es-ES" w:eastAsia="en-US" w:bidi="ar-SA"/>
      </w:rPr>
    </w:lvl>
  </w:abstractNum>
  <w:abstractNum w:abstractNumId="2" w15:restartNumberingAfterBreak="0">
    <w:nsid w:val="5D560161"/>
    <w:multiLevelType w:val="hybridMultilevel"/>
    <w:tmpl w:val="67580288"/>
    <w:lvl w:ilvl="0" w:tplc="3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A202D"/>
    <w:multiLevelType w:val="hybridMultilevel"/>
    <w:tmpl w:val="38A21A1E"/>
    <w:lvl w:ilvl="0" w:tplc="6AE0943A">
      <w:start w:val="7"/>
      <w:numFmt w:val="decimal"/>
      <w:lvlText w:val="%1"/>
      <w:lvlJc w:val="left"/>
      <w:pPr>
        <w:ind w:left="270" w:hanging="154"/>
      </w:pPr>
      <w:rPr>
        <w:rFonts w:hint="default"/>
        <w:b/>
        <w:bCs/>
        <w:w w:val="83"/>
        <w:lang w:val="es-ES" w:eastAsia="en-US" w:bidi="ar-SA"/>
      </w:rPr>
    </w:lvl>
    <w:lvl w:ilvl="1" w:tplc="E37A3A50">
      <w:numFmt w:val="bullet"/>
      <w:lvlText w:val="•"/>
      <w:lvlJc w:val="left"/>
      <w:pPr>
        <w:ind w:left="1125" w:hanging="154"/>
      </w:pPr>
      <w:rPr>
        <w:rFonts w:hint="default"/>
        <w:lang w:val="es-ES" w:eastAsia="en-US" w:bidi="ar-SA"/>
      </w:rPr>
    </w:lvl>
    <w:lvl w:ilvl="2" w:tplc="83ACE0B8">
      <w:numFmt w:val="bullet"/>
      <w:lvlText w:val="•"/>
      <w:lvlJc w:val="left"/>
      <w:pPr>
        <w:ind w:left="1971" w:hanging="154"/>
      </w:pPr>
      <w:rPr>
        <w:rFonts w:hint="default"/>
        <w:lang w:val="es-ES" w:eastAsia="en-US" w:bidi="ar-SA"/>
      </w:rPr>
    </w:lvl>
    <w:lvl w:ilvl="3" w:tplc="AA865EF4">
      <w:numFmt w:val="bullet"/>
      <w:lvlText w:val="•"/>
      <w:lvlJc w:val="left"/>
      <w:pPr>
        <w:ind w:left="2817" w:hanging="154"/>
      </w:pPr>
      <w:rPr>
        <w:rFonts w:hint="default"/>
        <w:lang w:val="es-ES" w:eastAsia="en-US" w:bidi="ar-SA"/>
      </w:rPr>
    </w:lvl>
    <w:lvl w:ilvl="4" w:tplc="1F18220A">
      <w:numFmt w:val="bullet"/>
      <w:lvlText w:val="•"/>
      <w:lvlJc w:val="left"/>
      <w:pPr>
        <w:ind w:left="3663" w:hanging="154"/>
      </w:pPr>
      <w:rPr>
        <w:rFonts w:hint="default"/>
        <w:lang w:val="es-ES" w:eastAsia="en-US" w:bidi="ar-SA"/>
      </w:rPr>
    </w:lvl>
    <w:lvl w:ilvl="5" w:tplc="3C7845D2">
      <w:numFmt w:val="bullet"/>
      <w:lvlText w:val="•"/>
      <w:lvlJc w:val="left"/>
      <w:pPr>
        <w:ind w:left="4509" w:hanging="154"/>
      </w:pPr>
      <w:rPr>
        <w:rFonts w:hint="default"/>
        <w:lang w:val="es-ES" w:eastAsia="en-US" w:bidi="ar-SA"/>
      </w:rPr>
    </w:lvl>
    <w:lvl w:ilvl="6" w:tplc="112E7876">
      <w:numFmt w:val="bullet"/>
      <w:lvlText w:val="•"/>
      <w:lvlJc w:val="left"/>
      <w:pPr>
        <w:ind w:left="5355" w:hanging="154"/>
      </w:pPr>
      <w:rPr>
        <w:rFonts w:hint="default"/>
        <w:lang w:val="es-ES" w:eastAsia="en-US" w:bidi="ar-SA"/>
      </w:rPr>
    </w:lvl>
    <w:lvl w:ilvl="7" w:tplc="C5BA02FA">
      <w:numFmt w:val="bullet"/>
      <w:lvlText w:val="•"/>
      <w:lvlJc w:val="left"/>
      <w:pPr>
        <w:ind w:left="6201" w:hanging="154"/>
      </w:pPr>
      <w:rPr>
        <w:rFonts w:hint="default"/>
        <w:lang w:val="es-ES" w:eastAsia="en-US" w:bidi="ar-SA"/>
      </w:rPr>
    </w:lvl>
    <w:lvl w:ilvl="8" w:tplc="B11AB9D2">
      <w:numFmt w:val="bullet"/>
      <w:lvlText w:val="•"/>
      <w:lvlJc w:val="left"/>
      <w:pPr>
        <w:ind w:left="7047" w:hanging="154"/>
      </w:pPr>
      <w:rPr>
        <w:rFonts w:hint="default"/>
        <w:lang w:val="es-ES" w:eastAsia="en-US" w:bidi="ar-SA"/>
      </w:rPr>
    </w:lvl>
  </w:abstractNum>
  <w:abstractNum w:abstractNumId="4" w15:restartNumberingAfterBreak="0">
    <w:nsid w:val="72AA2EE0"/>
    <w:multiLevelType w:val="hybridMultilevel"/>
    <w:tmpl w:val="1E4224DE"/>
    <w:lvl w:ilvl="0" w:tplc="A18855FA">
      <w:start w:val="1"/>
      <w:numFmt w:val="decimal"/>
      <w:lvlText w:val="%1."/>
      <w:lvlJc w:val="left"/>
      <w:pPr>
        <w:ind w:left="374" w:hanging="569"/>
      </w:pPr>
      <w:rPr>
        <w:rFonts w:hint="default"/>
        <w:spacing w:val="-1"/>
        <w:w w:val="100"/>
        <w:lang w:val="es-ES" w:eastAsia="en-US" w:bidi="ar-SA"/>
      </w:rPr>
    </w:lvl>
    <w:lvl w:ilvl="1" w:tplc="A89035F8">
      <w:start w:val="1"/>
      <w:numFmt w:val="lowerLetter"/>
      <w:lvlText w:val="%2."/>
      <w:lvlJc w:val="left"/>
      <w:pPr>
        <w:ind w:left="1368" w:hanging="428"/>
      </w:pPr>
      <w:rPr>
        <w:rFonts w:hint="default"/>
        <w:spacing w:val="-1"/>
        <w:w w:val="100"/>
        <w:lang w:val="es-ES" w:eastAsia="en-US" w:bidi="ar-SA"/>
      </w:rPr>
    </w:lvl>
    <w:lvl w:ilvl="2" w:tplc="EC505D9C">
      <w:numFmt w:val="bullet"/>
      <w:lvlText w:val="•"/>
      <w:lvlJc w:val="left"/>
      <w:pPr>
        <w:ind w:left="1360" w:hanging="428"/>
      </w:pPr>
      <w:rPr>
        <w:rFonts w:hint="default"/>
        <w:lang w:val="es-ES" w:eastAsia="en-US" w:bidi="ar-SA"/>
      </w:rPr>
    </w:lvl>
    <w:lvl w:ilvl="3" w:tplc="9432AB26">
      <w:numFmt w:val="bullet"/>
      <w:lvlText w:val="•"/>
      <w:lvlJc w:val="left"/>
      <w:pPr>
        <w:ind w:left="2518" w:hanging="428"/>
      </w:pPr>
      <w:rPr>
        <w:rFonts w:hint="default"/>
        <w:lang w:val="es-ES" w:eastAsia="en-US" w:bidi="ar-SA"/>
      </w:rPr>
    </w:lvl>
    <w:lvl w:ilvl="4" w:tplc="7D046C36">
      <w:numFmt w:val="bullet"/>
      <w:lvlText w:val="•"/>
      <w:lvlJc w:val="left"/>
      <w:pPr>
        <w:ind w:left="3677" w:hanging="428"/>
      </w:pPr>
      <w:rPr>
        <w:rFonts w:hint="default"/>
        <w:lang w:val="es-ES" w:eastAsia="en-US" w:bidi="ar-SA"/>
      </w:rPr>
    </w:lvl>
    <w:lvl w:ilvl="5" w:tplc="DE60A2E2">
      <w:numFmt w:val="bullet"/>
      <w:lvlText w:val="•"/>
      <w:lvlJc w:val="left"/>
      <w:pPr>
        <w:ind w:left="4836" w:hanging="428"/>
      </w:pPr>
      <w:rPr>
        <w:rFonts w:hint="default"/>
        <w:lang w:val="es-ES" w:eastAsia="en-US" w:bidi="ar-SA"/>
      </w:rPr>
    </w:lvl>
    <w:lvl w:ilvl="6" w:tplc="5FC0B12C">
      <w:numFmt w:val="bullet"/>
      <w:lvlText w:val="•"/>
      <w:lvlJc w:val="left"/>
      <w:pPr>
        <w:ind w:left="5995" w:hanging="428"/>
      </w:pPr>
      <w:rPr>
        <w:rFonts w:hint="default"/>
        <w:lang w:val="es-ES" w:eastAsia="en-US" w:bidi="ar-SA"/>
      </w:rPr>
    </w:lvl>
    <w:lvl w:ilvl="7" w:tplc="83CA721E">
      <w:numFmt w:val="bullet"/>
      <w:lvlText w:val="•"/>
      <w:lvlJc w:val="left"/>
      <w:pPr>
        <w:ind w:left="7154" w:hanging="428"/>
      </w:pPr>
      <w:rPr>
        <w:rFonts w:hint="default"/>
        <w:lang w:val="es-ES" w:eastAsia="en-US" w:bidi="ar-SA"/>
      </w:rPr>
    </w:lvl>
    <w:lvl w:ilvl="8" w:tplc="65C0F89C">
      <w:numFmt w:val="bullet"/>
      <w:lvlText w:val="•"/>
      <w:lvlJc w:val="left"/>
      <w:pPr>
        <w:ind w:left="8313" w:hanging="428"/>
      </w:pPr>
      <w:rPr>
        <w:rFonts w:hint="default"/>
        <w:lang w:val="es-ES" w:eastAsia="en-US" w:bidi="ar-SA"/>
      </w:rPr>
    </w:lvl>
  </w:abstractNum>
  <w:num w:numId="1" w16cid:durableId="1297562500">
    <w:abstractNumId w:val="0"/>
  </w:num>
  <w:num w:numId="2" w16cid:durableId="620960081">
    <w:abstractNumId w:val="2"/>
  </w:num>
  <w:num w:numId="3" w16cid:durableId="1899902131">
    <w:abstractNumId w:val="4"/>
  </w:num>
  <w:num w:numId="4" w16cid:durableId="1820226858">
    <w:abstractNumId w:val="3"/>
  </w:num>
  <w:num w:numId="5" w16cid:durableId="9876323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B2C"/>
    <w:rsid w:val="00020B3A"/>
    <w:rsid w:val="00043D96"/>
    <w:rsid w:val="000D47DF"/>
    <w:rsid w:val="000F72F3"/>
    <w:rsid w:val="001A57F6"/>
    <w:rsid w:val="001C7AA3"/>
    <w:rsid w:val="002A0D70"/>
    <w:rsid w:val="002B4589"/>
    <w:rsid w:val="002C54AB"/>
    <w:rsid w:val="002D5B2C"/>
    <w:rsid w:val="0035662A"/>
    <w:rsid w:val="003D62C6"/>
    <w:rsid w:val="005346C6"/>
    <w:rsid w:val="00546927"/>
    <w:rsid w:val="005F4BDB"/>
    <w:rsid w:val="00606BDE"/>
    <w:rsid w:val="00661099"/>
    <w:rsid w:val="006B3B88"/>
    <w:rsid w:val="006B4293"/>
    <w:rsid w:val="006C79FE"/>
    <w:rsid w:val="00746892"/>
    <w:rsid w:val="007D0342"/>
    <w:rsid w:val="00834F6D"/>
    <w:rsid w:val="008D098E"/>
    <w:rsid w:val="008D53C4"/>
    <w:rsid w:val="008D69F3"/>
    <w:rsid w:val="00914708"/>
    <w:rsid w:val="0091667D"/>
    <w:rsid w:val="009366C3"/>
    <w:rsid w:val="00973CF7"/>
    <w:rsid w:val="00B07FD4"/>
    <w:rsid w:val="00B6552D"/>
    <w:rsid w:val="00B71CD4"/>
    <w:rsid w:val="00BC162F"/>
    <w:rsid w:val="00C20546"/>
    <w:rsid w:val="00CD3524"/>
    <w:rsid w:val="00EE46FF"/>
    <w:rsid w:val="00FB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847EE"/>
  <w15:chartTrackingRefBased/>
  <w15:docId w15:val="{407774D9-9686-4A9C-9B7D-3935B52DE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6FF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styleId="Ttulo1">
    <w:name w:val="heading 1"/>
    <w:basedOn w:val="Normal"/>
    <w:link w:val="Ttulo1Car"/>
    <w:uiPriority w:val="9"/>
    <w:qFormat/>
    <w:rsid w:val="00BC162F"/>
    <w:pPr>
      <w:widowControl w:val="0"/>
      <w:autoSpaceDE w:val="0"/>
      <w:autoSpaceDN w:val="0"/>
      <w:spacing w:after="0" w:line="240" w:lineRule="auto"/>
      <w:ind w:left="330" w:hanging="215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markedcontent">
    <w:name w:val="markedcontent"/>
    <w:basedOn w:val="Fuentedeprrafopredeter"/>
    <w:rsid w:val="00834F6D"/>
  </w:style>
  <w:style w:type="paragraph" w:styleId="Prrafodelista">
    <w:name w:val="List Paragraph"/>
    <w:basedOn w:val="Normal"/>
    <w:uiPriority w:val="1"/>
    <w:qFormat/>
    <w:rsid w:val="002C54A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D69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69F3"/>
    <w:rPr>
      <w:rFonts w:ascii="Segoe UI" w:eastAsia="Calibri" w:hAnsi="Segoe UI" w:cs="Segoe UI"/>
      <w:sz w:val="18"/>
      <w:szCs w:val="18"/>
      <w:lang w:val="es-ES"/>
    </w:rPr>
  </w:style>
  <w:style w:type="paragraph" w:styleId="Revisin">
    <w:name w:val="Revision"/>
    <w:hidden/>
    <w:uiPriority w:val="99"/>
    <w:semiHidden/>
    <w:rsid w:val="00FB0788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8D098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D098E"/>
    <w:rPr>
      <w:rFonts w:ascii="Arial MT" w:eastAsia="Arial MT" w:hAnsi="Arial MT" w:cs="Arial MT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BC162F"/>
    <w:rPr>
      <w:rFonts w:ascii="Arial" w:eastAsia="Arial" w:hAnsi="Arial" w:cs="Arial"/>
      <w:b/>
      <w:bC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0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532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FVET</Company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lo la</cp:lastModifiedBy>
  <cp:revision>8</cp:revision>
  <cp:lastPrinted>2023-03-06T17:34:00Z</cp:lastPrinted>
  <dcterms:created xsi:type="dcterms:W3CDTF">2023-03-09T11:00:00Z</dcterms:created>
  <dcterms:modified xsi:type="dcterms:W3CDTF">2023-03-09T11:53:00Z</dcterms:modified>
</cp:coreProperties>
</file>