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9DF4" w14:textId="4B681234" w:rsidR="002C54AB" w:rsidRDefault="002C54AB">
      <w:pPr>
        <w:rPr>
          <w:rFonts w:ascii="Alef" w:hAnsi="Alef" w:cs="Alef"/>
          <w:color w:val="3B3838" w:themeColor="background2" w:themeShade="40"/>
          <w:sz w:val="24"/>
          <w:szCs w:val="24"/>
        </w:rPr>
      </w:pPr>
      <w:r>
        <w:rPr>
          <w:rFonts w:ascii="Alef" w:hAnsi="Alef" w:cs="Alef"/>
          <w:color w:val="3B3838" w:themeColor="background2" w:themeShade="40"/>
          <w:sz w:val="24"/>
          <w:szCs w:val="24"/>
        </w:rPr>
        <w:t>De conformidad con lo acordado en la CSE del 10.11.22, se han incorporado al reglamento del PE</w:t>
      </w:r>
      <w:r w:rsidR="00BA2F25">
        <w:rPr>
          <w:rFonts w:ascii="Alef" w:hAnsi="Alef" w:cs="Alef"/>
          <w:color w:val="3B3838" w:themeColor="background2" w:themeShade="40"/>
          <w:sz w:val="24"/>
          <w:szCs w:val="24"/>
        </w:rPr>
        <w:t>D</w:t>
      </w:r>
      <w:r>
        <w:rPr>
          <w:rFonts w:ascii="Alef" w:hAnsi="Alef" w:cs="Alef"/>
          <w:color w:val="3B3838" w:themeColor="background2" w:themeShade="40"/>
          <w:sz w:val="24"/>
          <w:szCs w:val="24"/>
        </w:rPr>
        <w:t xml:space="preserve"> las siguientes modificaciones:</w:t>
      </w:r>
    </w:p>
    <w:p w14:paraId="5FD5AA06" w14:textId="344ACC53" w:rsidR="00025248" w:rsidRDefault="00025248" w:rsidP="00025248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En el numeral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26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 se modifica la redacción de:</w:t>
      </w:r>
      <w:r w:rsidRPr="00791C6A">
        <w:rPr>
          <w:strike/>
          <w:sz w:val="20"/>
          <w:szCs w:val="20"/>
          <w:shd w:val="clear" w:color="auto" w:fill="FFFF00"/>
        </w:rPr>
        <w:t xml:space="preserve">  </w:t>
      </w:r>
      <w:r w:rsidRPr="00E33F9A">
        <w:rPr>
          <w:strike/>
          <w:spacing w:val="-1"/>
          <w:sz w:val="24"/>
          <w:shd w:val="clear" w:color="auto" w:fill="FFFF00"/>
        </w:rPr>
        <w:t>Las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pacing w:val="-1"/>
          <w:sz w:val="24"/>
          <w:shd w:val="clear" w:color="auto" w:fill="FFFF00"/>
        </w:rPr>
        <w:t>Universidades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participantes</w:t>
      </w:r>
      <w:r w:rsidRPr="00E33F9A">
        <w:rPr>
          <w:strike/>
          <w:spacing w:val="-12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deberán</w:t>
      </w:r>
      <w:r w:rsidRPr="00E33F9A">
        <w:rPr>
          <w:strike/>
          <w:spacing w:val="-7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contar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con</w:t>
      </w:r>
      <w:r w:rsidRPr="00E33F9A">
        <w:rPr>
          <w:strike/>
          <w:spacing w:val="-8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una</w:t>
      </w:r>
      <w:r w:rsidRPr="00E33F9A">
        <w:rPr>
          <w:strike/>
          <w:spacing w:val="-10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Coordinación</w:t>
      </w:r>
      <w:r w:rsidRPr="00E33F9A">
        <w:rPr>
          <w:strike/>
          <w:spacing w:val="-7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Institucional</w:t>
      </w:r>
      <w:r w:rsidRPr="00E33F9A">
        <w:rPr>
          <w:strike/>
          <w:spacing w:val="-5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del PED, comunicando antes del inicio de cada convocatoria los datos de contacto de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proofErr w:type="gramStart"/>
      <w:r w:rsidRPr="00E33F9A">
        <w:rPr>
          <w:strike/>
          <w:sz w:val="24"/>
          <w:shd w:val="clear" w:color="auto" w:fill="FFFF00"/>
        </w:rPr>
        <w:t>la</w:t>
      </w:r>
      <w:r w:rsidRPr="00E33F9A">
        <w:rPr>
          <w:strike/>
          <w:spacing w:val="1"/>
          <w:sz w:val="24"/>
          <w:shd w:val="clear" w:color="auto" w:fill="FFFF00"/>
        </w:rPr>
        <w:t xml:space="preserve"> </w:t>
      </w:r>
      <w:r w:rsidRPr="00E33F9A">
        <w:rPr>
          <w:strike/>
          <w:sz w:val="24"/>
          <w:shd w:val="clear" w:color="auto" w:fill="FFFF00"/>
        </w:rPr>
        <w:t>misma</w:t>
      </w:r>
      <w:proofErr w:type="gramEnd"/>
      <w:r w:rsidRPr="006D2376">
        <w:rPr>
          <w:rFonts w:ascii="Alef" w:hAnsi="Alef" w:cs="Alef"/>
          <w:color w:val="3B3838" w:themeColor="background2" w:themeShade="40"/>
          <w:sz w:val="20"/>
          <w:szCs w:val="20"/>
        </w:rPr>
        <w:t xml:space="preserve">.     </w:t>
      </w:r>
      <w:r w:rsidRPr="00025248">
        <w:rPr>
          <w:rFonts w:ascii="Alef" w:hAnsi="Alef" w:cs="Alef"/>
          <w:color w:val="3B3838" w:themeColor="background2" w:themeShade="40"/>
          <w:sz w:val="20"/>
          <w:szCs w:val="20"/>
        </w:rPr>
        <w:t xml:space="preserve">a: 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“La coordinación institucional del Programa en cada universidad es responsabilidad del/la </w:t>
      </w:r>
      <w:proofErr w:type="gramStart"/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>Delegado</w:t>
      </w:r>
      <w:proofErr w:type="gramEnd"/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/a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A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>sesor/a, salvo designación expresa del Rector/a”.</w:t>
      </w:r>
    </w:p>
    <w:p w14:paraId="348D6ACA" w14:textId="1DFEBBA6" w:rsidR="00025248" w:rsidRDefault="00A53CED" w:rsidP="00025248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 xml:space="preserve">En los numerales 27 y 28 se modifica la referencia a la Coordinación Institucional sin distinguir entre Coordinadores Institucionales y </w:t>
      </w:r>
      <w:proofErr w:type="gramStart"/>
      <w:r>
        <w:rPr>
          <w:rFonts w:ascii="Alef" w:hAnsi="Alef" w:cs="Alef"/>
          <w:color w:val="3B3838" w:themeColor="background2" w:themeShade="40"/>
          <w:sz w:val="20"/>
          <w:szCs w:val="20"/>
        </w:rPr>
        <w:t>Delegados</w:t>
      </w:r>
      <w:proofErr w:type="gramEnd"/>
      <w:r>
        <w:rPr>
          <w:rFonts w:ascii="Alef" w:hAnsi="Alef" w:cs="Alef"/>
          <w:color w:val="3B3838" w:themeColor="background2" w:themeShade="40"/>
          <w:sz w:val="20"/>
          <w:szCs w:val="20"/>
        </w:rPr>
        <w:t xml:space="preserve"> Asesores.</w:t>
      </w:r>
    </w:p>
    <w:p w14:paraId="58CB57C6" w14:textId="5E28F767" w:rsidR="00A53CED" w:rsidRPr="00791C6A" w:rsidRDefault="00A53CED" w:rsidP="00025248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 xml:space="preserve">En los numerales 30 y 31 se retira la referencia a que los acuerdos de plazas y la aprobación de los cronogramas se realizan en la Segunda Reunión de </w:t>
      </w:r>
      <w:proofErr w:type="gramStart"/>
      <w:r>
        <w:rPr>
          <w:rFonts w:ascii="Alef" w:hAnsi="Alef" w:cs="Alef"/>
          <w:color w:val="3B3838" w:themeColor="background2" w:themeShade="40"/>
          <w:sz w:val="20"/>
          <w:szCs w:val="20"/>
        </w:rPr>
        <w:t>Delegados</w:t>
      </w:r>
      <w:proofErr w:type="gramEnd"/>
      <w:r>
        <w:rPr>
          <w:rFonts w:ascii="Alef" w:hAnsi="Alef" w:cs="Alef"/>
          <w:color w:val="3B3838" w:themeColor="background2" w:themeShade="40"/>
          <w:sz w:val="20"/>
          <w:szCs w:val="20"/>
        </w:rPr>
        <w:t xml:space="preserve"> Asesores, quedando estos acuerdos en el ámbito de la RDA que corresponda.</w:t>
      </w:r>
    </w:p>
    <w:p w14:paraId="63D64606" w14:textId="77777777" w:rsidR="00025248" w:rsidRPr="00791C6A" w:rsidRDefault="00025248" w:rsidP="00025248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Se ha adecuado la referencia al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S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eguro de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V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>ida como “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S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eguro de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S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alud,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A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sistencia y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R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epatriación”, </w:t>
      </w:r>
      <w:proofErr w:type="gramStart"/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>en razón de</w:t>
      </w:r>
      <w:proofErr w:type="gramEnd"/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 que un seguro de vida resultaría extremadamente oneroso.</w:t>
      </w:r>
    </w:p>
    <w:p w14:paraId="2E494001" w14:textId="77777777" w:rsidR="00025248" w:rsidRPr="00791C6A" w:rsidRDefault="00025248" w:rsidP="00025248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Se ha agregado una disposición transitoria respecto a que el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S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 xml:space="preserve">eguro de 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>S</w:t>
      </w:r>
      <w:r w:rsidRPr="00791C6A">
        <w:rPr>
          <w:rFonts w:ascii="Alef" w:hAnsi="Alef" w:cs="Alef"/>
          <w:color w:val="3B3838" w:themeColor="background2" w:themeShade="40"/>
          <w:sz w:val="20"/>
          <w:szCs w:val="20"/>
        </w:rPr>
        <w:t>alud debe incluir</w:t>
      </w:r>
      <w:r>
        <w:rPr>
          <w:rFonts w:ascii="Alef" w:hAnsi="Alef" w:cs="Alef"/>
          <w:color w:val="3B3838" w:themeColor="background2" w:themeShade="40"/>
          <w:sz w:val="20"/>
          <w:szCs w:val="20"/>
        </w:rPr>
        <w:t xml:space="preserve"> la cobertura por COVID 19.</w:t>
      </w:r>
    </w:p>
    <w:p w14:paraId="7E530465" w14:textId="77777777" w:rsidR="00025248" w:rsidRDefault="00025248">
      <w:pPr>
        <w:rPr>
          <w:rFonts w:ascii="Alef" w:hAnsi="Alef" w:cs="Alef"/>
          <w:color w:val="3B3838" w:themeColor="background2" w:themeShade="40"/>
          <w:sz w:val="24"/>
          <w:szCs w:val="24"/>
        </w:rPr>
      </w:pPr>
    </w:p>
    <w:sectPr w:rsidR="00025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61F"/>
    <w:multiLevelType w:val="hybridMultilevel"/>
    <w:tmpl w:val="4D0AC83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0161"/>
    <w:multiLevelType w:val="hybridMultilevel"/>
    <w:tmpl w:val="675802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A2EE0"/>
    <w:multiLevelType w:val="hybridMultilevel"/>
    <w:tmpl w:val="1E4224DE"/>
    <w:lvl w:ilvl="0" w:tplc="A18855FA">
      <w:start w:val="1"/>
      <w:numFmt w:val="decimal"/>
      <w:lvlText w:val="%1."/>
      <w:lvlJc w:val="left"/>
      <w:pPr>
        <w:ind w:left="374" w:hanging="569"/>
      </w:pPr>
      <w:rPr>
        <w:rFonts w:hint="default"/>
        <w:spacing w:val="-1"/>
        <w:w w:val="100"/>
        <w:lang w:val="es-ES" w:eastAsia="en-US" w:bidi="ar-SA"/>
      </w:rPr>
    </w:lvl>
    <w:lvl w:ilvl="1" w:tplc="A89035F8">
      <w:start w:val="1"/>
      <w:numFmt w:val="lowerLetter"/>
      <w:lvlText w:val="%2."/>
      <w:lvlJc w:val="left"/>
      <w:pPr>
        <w:ind w:left="1368" w:hanging="428"/>
      </w:pPr>
      <w:rPr>
        <w:rFonts w:hint="default"/>
        <w:spacing w:val="-1"/>
        <w:w w:val="100"/>
        <w:lang w:val="es-ES" w:eastAsia="en-US" w:bidi="ar-SA"/>
      </w:rPr>
    </w:lvl>
    <w:lvl w:ilvl="2" w:tplc="EC505D9C">
      <w:numFmt w:val="bullet"/>
      <w:lvlText w:val="•"/>
      <w:lvlJc w:val="left"/>
      <w:pPr>
        <w:ind w:left="1360" w:hanging="428"/>
      </w:pPr>
      <w:rPr>
        <w:rFonts w:hint="default"/>
        <w:lang w:val="es-ES" w:eastAsia="en-US" w:bidi="ar-SA"/>
      </w:rPr>
    </w:lvl>
    <w:lvl w:ilvl="3" w:tplc="9432AB26">
      <w:numFmt w:val="bullet"/>
      <w:lvlText w:val="•"/>
      <w:lvlJc w:val="left"/>
      <w:pPr>
        <w:ind w:left="2518" w:hanging="428"/>
      </w:pPr>
      <w:rPr>
        <w:rFonts w:hint="default"/>
        <w:lang w:val="es-ES" w:eastAsia="en-US" w:bidi="ar-SA"/>
      </w:rPr>
    </w:lvl>
    <w:lvl w:ilvl="4" w:tplc="7D046C36">
      <w:numFmt w:val="bullet"/>
      <w:lvlText w:val="•"/>
      <w:lvlJc w:val="left"/>
      <w:pPr>
        <w:ind w:left="3677" w:hanging="428"/>
      </w:pPr>
      <w:rPr>
        <w:rFonts w:hint="default"/>
        <w:lang w:val="es-ES" w:eastAsia="en-US" w:bidi="ar-SA"/>
      </w:rPr>
    </w:lvl>
    <w:lvl w:ilvl="5" w:tplc="DE60A2E2">
      <w:numFmt w:val="bullet"/>
      <w:lvlText w:val="•"/>
      <w:lvlJc w:val="left"/>
      <w:pPr>
        <w:ind w:left="4836" w:hanging="428"/>
      </w:pPr>
      <w:rPr>
        <w:rFonts w:hint="default"/>
        <w:lang w:val="es-ES" w:eastAsia="en-US" w:bidi="ar-SA"/>
      </w:rPr>
    </w:lvl>
    <w:lvl w:ilvl="6" w:tplc="5FC0B12C">
      <w:numFmt w:val="bullet"/>
      <w:lvlText w:val="•"/>
      <w:lvlJc w:val="left"/>
      <w:pPr>
        <w:ind w:left="5995" w:hanging="428"/>
      </w:pPr>
      <w:rPr>
        <w:rFonts w:hint="default"/>
        <w:lang w:val="es-ES" w:eastAsia="en-US" w:bidi="ar-SA"/>
      </w:rPr>
    </w:lvl>
    <w:lvl w:ilvl="7" w:tplc="83CA721E">
      <w:numFmt w:val="bullet"/>
      <w:lvlText w:val="•"/>
      <w:lvlJc w:val="left"/>
      <w:pPr>
        <w:ind w:left="7154" w:hanging="428"/>
      </w:pPr>
      <w:rPr>
        <w:rFonts w:hint="default"/>
        <w:lang w:val="es-ES" w:eastAsia="en-US" w:bidi="ar-SA"/>
      </w:rPr>
    </w:lvl>
    <w:lvl w:ilvl="8" w:tplc="65C0F89C">
      <w:numFmt w:val="bullet"/>
      <w:lvlText w:val="•"/>
      <w:lvlJc w:val="left"/>
      <w:pPr>
        <w:ind w:left="8313" w:hanging="428"/>
      </w:pPr>
      <w:rPr>
        <w:rFonts w:hint="default"/>
        <w:lang w:val="es-ES" w:eastAsia="en-US" w:bidi="ar-SA"/>
      </w:rPr>
    </w:lvl>
  </w:abstractNum>
  <w:num w:numId="1" w16cid:durableId="618298485">
    <w:abstractNumId w:val="0"/>
  </w:num>
  <w:num w:numId="2" w16cid:durableId="1879244811">
    <w:abstractNumId w:val="1"/>
  </w:num>
  <w:num w:numId="3" w16cid:durableId="40445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2C"/>
    <w:rsid w:val="00025248"/>
    <w:rsid w:val="00043D96"/>
    <w:rsid w:val="000F72F3"/>
    <w:rsid w:val="002C54AB"/>
    <w:rsid w:val="002D5B2C"/>
    <w:rsid w:val="00546927"/>
    <w:rsid w:val="00606BDE"/>
    <w:rsid w:val="006B4293"/>
    <w:rsid w:val="006C79FE"/>
    <w:rsid w:val="006D2376"/>
    <w:rsid w:val="007E0BF0"/>
    <w:rsid w:val="00834F6D"/>
    <w:rsid w:val="008D53C4"/>
    <w:rsid w:val="008D69F3"/>
    <w:rsid w:val="0091667D"/>
    <w:rsid w:val="00A53CED"/>
    <w:rsid w:val="00B07FD4"/>
    <w:rsid w:val="00BA2F25"/>
    <w:rsid w:val="00C654C8"/>
    <w:rsid w:val="00CD3524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7EE"/>
  <w15:chartTrackingRefBased/>
  <w15:docId w15:val="{407774D9-9686-4A9C-9B7D-3935B52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834F6D"/>
  </w:style>
  <w:style w:type="paragraph" w:styleId="Prrafodelista">
    <w:name w:val="List Paragraph"/>
    <w:basedOn w:val="Normal"/>
    <w:uiPriority w:val="34"/>
    <w:qFormat/>
    <w:rsid w:val="002C5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F3"/>
    <w:rPr>
      <w:rFonts w:ascii="Segoe UI" w:eastAsia="Calibr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6D237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 la</cp:lastModifiedBy>
  <cp:revision>2</cp:revision>
  <cp:lastPrinted>2023-03-06T17:34:00Z</cp:lastPrinted>
  <dcterms:created xsi:type="dcterms:W3CDTF">2023-03-09T12:15:00Z</dcterms:created>
  <dcterms:modified xsi:type="dcterms:W3CDTF">2023-03-09T12:15:00Z</dcterms:modified>
</cp:coreProperties>
</file>