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BC" w:rsidRPr="002658FB" w:rsidRDefault="001D647B" w:rsidP="006D0F37">
      <w:pPr>
        <w:spacing w:after="120" w:line="240" w:lineRule="auto"/>
        <w:jc w:val="center"/>
        <w:rPr>
          <w:bCs/>
          <w:sz w:val="20"/>
          <w:szCs w:val="20"/>
        </w:rPr>
      </w:pPr>
      <w:r w:rsidRPr="002658FB">
        <w:rPr>
          <w:bCs/>
          <w:sz w:val="20"/>
          <w:szCs w:val="20"/>
        </w:rPr>
        <w:t>IV Encuentro -</w:t>
      </w:r>
      <w:r w:rsidR="00D2062D" w:rsidRPr="002658FB">
        <w:rPr>
          <w:bCs/>
          <w:sz w:val="20"/>
          <w:szCs w:val="20"/>
        </w:rPr>
        <w:t xml:space="preserve">Jornada Itinerante </w:t>
      </w:r>
      <w:r w:rsidRPr="002658FB">
        <w:rPr>
          <w:bCs/>
          <w:sz w:val="20"/>
          <w:szCs w:val="20"/>
        </w:rPr>
        <w:t xml:space="preserve">del CAA-AUGM en conmemoración de los 25 años de </w:t>
      </w:r>
      <w:r w:rsidR="00FF7CBC" w:rsidRPr="002658FB">
        <w:rPr>
          <w:bCs/>
          <w:sz w:val="20"/>
          <w:szCs w:val="20"/>
        </w:rPr>
        <w:t>Asociación de Universidades del Grupo Montevideo (AUGM)</w:t>
      </w:r>
      <w:r w:rsidR="006B264F" w:rsidRPr="002658FB">
        <w:rPr>
          <w:bCs/>
          <w:sz w:val="20"/>
          <w:szCs w:val="20"/>
        </w:rPr>
        <w:t xml:space="preserve">. </w:t>
      </w:r>
      <w:r w:rsidR="00D2062D" w:rsidRPr="002658FB">
        <w:rPr>
          <w:bCs/>
          <w:sz w:val="20"/>
          <w:szCs w:val="20"/>
        </w:rPr>
        <w:t xml:space="preserve">Universidad de </w:t>
      </w:r>
      <w:r w:rsidR="008C612C" w:rsidRPr="002658FB">
        <w:rPr>
          <w:bCs/>
          <w:sz w:val="20"/>
          <w:szCs w:val="20"/>
        </w:rPr>
        <w:t xml:space="preserve">Cuyo </w:t>
      </w:r>
      <w:r w:rsidR="00133FEF" w:rsidRPr="002658FB">
        <w:rPr>
          <w:bCs/>
          <w:sz w:val="20"/>
          <w:szCs w:val="20"/>
        </w:rPr>
        <w:t>-</w:t>
      </w:r>
      <w:r w:rsidR="00D2062D" w:rsidRPr="002658FB">
        <w:rPr>
          <w:bCs/>
          <w:sz w:val="20"/>
          <w:szCs w:val="20"/>
        </w:rPr>
        <w:t xml:space="preserve"> Universidad de Santiago de Chile</w:t>
      </w:r>
      <w:r w:rsidR="006D0F37" w:rsidRPr="002658FB">
        <w:rPr>
          <w:bCs/>
          <w:sz w:val="20"/>
          <w:szCs w:val="20"/>
        </w:rPr>
        <w:t xml:space="preserve"> </w:t>
      </w:r>
    </w:p>
    <w:p w:rsidR="00206E5D" w:rsidRPr="002658FB" w:rsidRDefault="00206E5D" w:rsidP="006D0F37">
      <w:pPr>
        <w:spacing w:after="120" w:line="240" w:lineRule="auto"/>
        <w:jc w:val="center"/>
        <w:rPr>
          <w:b/>
        </w:rPr>
      </w:pPr>
      <w:r w:rsidRPr="002658FB">
        <w:rPr>
          <w:b/>
        </w:rPr>
        <w:t xml:space="preserve">Herramientas </w:t>
      </w:r>
      <w:r w:rsidR="005B08D9" w:rsidRPr="002658FB">
        <w:rPr>
          <w:b/>
        </w:rPr>
        <w:t>de d</w:t>
      </w:r>
      <w:r w:rsidRPr="002658FB">
        <w:rPr>
          <w:b/>
        </w:rPr>
        <w:t>iagnóstico</w:t>
      </w:r>
      <w:r w:rsidR="00D2062D" w:rsidRPr="002658FB">
        <w:rPr>
          <w:b/>
        </w:rPr>
        <w:t xml:space="preserve">, nuevas tecnologías de tratamiento </w:t>
      </w:r>
      <w:r w:rsidRPr="002658FB">
        <w:rPr>
          <w:b/>
        </w:rPr>
        <w:t xml:space="preserve">y </w:t>
      </w:r>
      <w:r w:rsidR="005B08D9" w:rsidRPr="002658FB">
        <w:rPr>
          <w:b/>
        </w:rPr>
        <w:t xml:space="preserve">gestión </w:t>
      </w:r>
      <w:r w:rsidRPr="002658FB">
        <w:rPr>
          <w:b/>
        </w:rPr>
        <w:t>del agua an</w:t>
      </w:r>
      <w:r w:rsidR="004D0709" w:rsidRPr="002658FB">
        <w:rPr>
          <w:b/>
        </w:rPr>
        <w:t>te nuevos escenarios climáticos</w:t>
      </w:r>
    </w:p>
    <w:p w:rsidR="005B08D9" w:rsidRPr="002658FB" w:rsidRDefault="006D0F37" w:rsidP="006D0F37">
      <w:pPr>
        <w:spacing w:after="120" w:line="240" w:lineRule="auto"/>
        <w:rPr>
          <w:rFonts w:cs="Arial"/>
          <w:color w:val="222222"/>
          <w:sz w:val="20"/>
          <w:szCs w:val="20"/>
          <w:shd w:val="clear" w:color="auto" w:fill="FFFFFF"/>
        </w:rPr>
      </w:pPr>
      <w:r w:rsidRPr="002658FB">
        <w:rPr>
          <w:b/>
        </w:rPr>
        <w:t xml:space="preserve">Lugar: </w:t>
      </w:r>
      <w:r w:rsidR="006B264F" w:rsidRPr="002658FB">
        <w:t xml:space="preserve">CICUNC </w:t>
      </w:r>
      <w:r w:rsidR="006B264F" w:rsidRPr="002658FB">
        <w:rPr>
          <w:rFonts w:cs="Arial"/>
          <w:color w:val="222222"/>
          <w:sz w:val="20"/>
          <w:szCs w:val="20"/>
          <w:shd w:val="clear" w:color="auto" w:fill="FFFFFF"/>
        </w:rPr>
        <w:t>Centro Universitario, 5500 Mendoza.</w:t>
      </w:r>
      <w:r w:rsidR="006B264F" w:rsidRPr="002658FB">
        <w:rPr>
          <w:rFonts w:cs="Arial"/>
          <w:b/>
          <w:color w:val="222222"/>
          <w:sz w:val="20"/>
          <w:szCs w:val="20"/>
          <w:shd w:val="clear" w:color="auto" w:fill="FFFFFF"/>
        </w:rPr>
        <w:t xml:space="preserve"> </w:t>
      </w:r>
      <w:r w:rsidRPr="002658FB">
        <w:rPr>
          <w:b/>
        </w:rPr>
        <w:t xml:space="preserve">Día: </w:t>
      </w:r>
      <w:r w:rsidR="00D2062D" w:rsidRPr="002658FB">
        <w:t>24</w:t>
      </w:r>
      <w:r w:rsidR="00040F21" w:rsidRPr="002658FB">
        <w:t xml:space="preserve"> </w:t>
      </w:r>
      <w:r w:rsidR="00C87664" w:rsidRPr="002658FB">
        <w:t xml:space="preserve">de agosto </w:t>
      </w:r>
      <w:r w:rsidR="00040F21" w:rsidRPr="002658FB">
        <w:t xml:space="preserve">de 2016 </w:t>
      </w:r>
      <w:r w:rsidR="009A3F79" w:rsidRPr="002658FB">
        <w:t xml:space="preserve">- </w:t>
      </w:r>
      <w:r w:rsidR="006B264F" w:rsidRPr="002658FB">
        <w:t>8:3</w:t>
      </w:r>
      <w:r w:rsidR="005B08D9" w:rsidRPr="002658FB">
        <w:t>0 a 13:00 hs</w:t>
      </w:r>
      <w:r w:rsidR="00C87664" w:rsidRPr="002658FB">
        <w:t>.</w:t>
      </w:r>
      <w:r w:rsidR="002658FB" w:rsidRPr="002658FB">
        <w:t xml:space="preserve"> </w:t>
      </w:r>
      <w:r w:rsidR="002658FB" w:rsidRPr="000105C6">
        <w:rPr>
          <w:b/>
        </w:rPr>
        <w:t>Entrada Libre.</w:t>
      </w:r>
      <w:r w:rsidR="002658FB" w:rsidRPr="002658FB">
        <w:t xml:space="preserve"> </w:t>
      </w:r>
    </w:p>
    <w:p w:rsidR="006D0F37" w:rsidRPr="005E6A9B" w:rsidRDefault="006B264F" w:rsidP="006D0F37">
      <w:pPr>
        <w:spacing w:after="120" w:line="240" w:lineRule="auto"/>
        <w:rPr>
          <w:b/>
        </w:rPr>
      </w:pPr>
      <w:r w:rsidRPr="002658FB">
        <w:rPr>
          <w:b/>
        </w:rPr>
        <w:t>PROGRAMA</w:t>
      </w:r>
      <w:r w:rsidR="005E6A9B">
        <w:rPr>
          <w:b/>
        </w:rPr>
        <w:tab/>
      </w:r>
      <w:r w:rsidR="005E6A9B">
        <w:rPr>
          <w:b/>
        </w:rPr>
        <w:tab/>
      </w:r>
      <w:r w:rsidR="005E6A9B">
        <w:rPr>
          <w:b/>
        </w:rPr>
        <w:tab/>
        <w:t xml:space="preserve">Coordinadores: </w:t>
      </w:r>
      <w:r w:rsidR="005E6A9B" w:rsidRPr="005E6A9B">
        <w:t>p</w:t>
      </w:r>
      <w:r w:rsidR="005E6A9B">
        <w:t xml:space="preserve">or Argentina Ing. José </w:t>
      </w:r>
      <w:r w:rsidR="005F36F3">
        <w:t xml:space="preserve">A. </w:t>
      </w:r>
      <w:proofErr w:type="spellStart"/>
      <w:r w:rsidR="005E6A9B">
        <w:t>Morábito</w:t>
      </w:r>
      <w:proofErr w:type="spellEnd"/>
      <w:r w:rsidR="003F5F89">
        <w:t>,</w:t>
      </w:r>
      <w:r w:rsidR="005E6A9B">
        <w:t xml:space="preserve"> por Chile </w:t>
      </w:r>
      <w:r w:rsidR="003F5F89">
        <w:t>D</w:t>
      </w:r>
      <w:r w:rsidR="005E6A9B">
        <w:t xml:space="preserve">r. </w:t>
      </w:r>
      <w:r w:rsidR="005E6A9B" w:rsidRPr="005E6A9B">
        <w:t xml:space="preserve">Jaime Pizarro </w:t>
      </w:r>
      <w:proofErr w:type="spellStart"/>
      <w:r w:rsidR="005E6A9B" w:rsidRPr="005E6A9B">
        <w:t>Konczak</w:t>
      </w:r>
      <w:proofErr w:type="spellEnd"/>
      <w:r w:rsidR="005E6A9B">
        <w:t xml:space="preserve"> </w:t>
      </w:r>
      <w:bookmarkStart w:id="0" w:name="_GoBack"/>
      <w:bookmarkEnd w:id="0"/>
    </w:p>
    <w:tbl>
      <w:tblPr>
        <w:tblStyle w:val="Tablaconcuadrcula"/>
        <w:tblW w:w="5000" w:type="pct"/>
        <w:jc w:val="center"/>
        <w:tblLook w:val="04A0"/>
      </w:tblPr>
      <w:tblGrid>
        <w:gridCol w:w="844"/>
        <w:gridCol w:w="877"/>
        <w:gridCol w:w="2301"/>
        <w:gridCol w:w="2380"/>
        <w:gridCol w:w="4586"/>
      </w:tblGrid>
      <w:tr w:rsidR="00206E5D" w:rsidRPr="002658FB" w:rsidTr="006D0F37">
        <w:trPr>
          <w:jc w:val="center"/>
        </w:trPr>
        <w:tc>
          <w:tcPr>
            <w:tcW w:w="384" w:type="pct"/>
          </w:tcPr>
          <w:p w:rsidR="00206E5D" w:rsidRPr="002658FB" w:rsidRDefault="00206E5D" w:rsidP="00F23BF5">
            <w:pPr>
              <w:jc w:val="center"/>
              <w:rPr>
                <w:b/>
                <w:sz w:val="20"/>
                <w:szCs w:val="20"/>
              </w:rPr>
            </w:pPr>
            <w:r w:rsidRPr="002658FB">
              <w:rPr>
                <w:b/>
                <w:sz w:val="20"/>
                <w:szCs w:val="20"/>
              </w:rPr>
              <w:t>Orden</w:t>
            </w:r>
          </w:p>
        </w:tc>
        <w:tc>
          <w:tcPr>
            <w:tcW w:w="399" w:type="pct"/>
          </w:tcPr>
          <w:p w:rsidR="00206E5D" w:rsidRPr="002658FB" w:rsidRDefault="00206E5D" w:rsidP="00911C7B">
            <w:pPr>
              <w:rPr>
                <w:b/>
                <w:sz w:val="20"/>
                <w:szCs w:val="20"/>
              </w:rPr>
            </w:pPr>
            <w:r w:rsidRPr="002658FB">
              <w:rPr>
                <w:b/>
                <w:sz w:val="20"/>
                <w:szCs w:val="20"/>
              </w:rPr>
              <w:t>Hora</w:t>
            </w:r>
          </w:p>
        </w:tc>
        <w:tc>
          <w:tcPr>
            <w:tcW w:w="1047" w:type="pct"/>
          </w:tcPr>
          <w:p w:rsidR="00206E5D" w:rsidRPr="002658FB" w:rsidRDefault="00206E5D" w:rsidP="00ED61AC">
            <w:pPr>
              <w:jc w:val="center"/>
              <w:rPr>
                <w:b/>
                <w:sz w:val="20"/>
                <w:szCs w:val="20"/>
              </w:rPr>
            </w:pPr>
            <w:r w:rsidRPr="002658FB">
              <w:rPr>
                <w:b/>
                <w:sz w:val="20"/>
                <w:szCs w:val="20"/>
              </w:rPr>
              <w:t>Tema</w:t>
            </w:r>
          </w:p>
        </w:tc>
        <w:tc>
          <w:tcPr>
            <w:tcW w:w="1083" w:type="pct"/>
          </w:tcPr>
          <w:p w:rsidR="00206E5D" w:rsidRPr="002658FB" w:rsidRDefault="00206E5D" w:rsidP="00ED61AC">
            <w:pPr>
              <w:jc w:val="center"/>
              <w:rPr>
                <w:b/>
                <w:sz w:val="20"/>
                <w:szCs w:val="20"/>
              </w:rPr>
            </w:pPr>
            <w:r w:rsidRPr="002658FB">
              <w:rPr>
                <w:b/>
                <w:sz w:val="20"/>
                <w:szCs w:val="20"/>
              </w:rPr>
              <w:t>Expositor</w:t>
            </w:r>
          </w:p>
        </w:tc>
        <w:tc>
          <w:tcPr>
            <w:tcW w:w="2087" w:type="pct"/>
          </w:tcPr>
          <w:p w:rsidR="00206E5D" w:rsidRPr="002658FB" w:rsidRDefault="00AC39CF" w:rsidP="00ED61AC">
            <w:pPr>
              <w:jc w:val="center"/>
              <w:rPr>
                <w:b/>
                <w:sz w:val="20"/>
                <w:szCs w:val="20"/>
              </w:rPr>
            </w:pPr>
            <w:r>
              <w:rPr>
                <w:b/>
                <w:sz w:val="20"/>
                <w:szCs w:val="20"/>
              </w:rPr>
              <w:t>Objetivo general</w:t>
            </w:r>
          </w:p>
        </w:tc>
      </w:tr>
      <w:tr w:rsidR="006B264F" w:rsidRPr="002658FB" w:rsidTr="006D0F37">
        <w:trPr>
          <w:jc w:val="center"/>
        </w:trPr>
        <w:tc>
          <w:tcPr>
            <w:tcW w:w="384" w:type="pct"/>
          </w:tcPr>
          <w:p w:rsidR="006B264F" w:rsidRPr="002658FB" w:rsidRDefault="006B264F" w:rsidP="00F23BF5">
            <w:pPr>
              <w:jc w:val="center"/>
              <w:rPr>
                <w:b/>
                <w:sz w:val="20"/>
                <w:szCs w:val="20"/>
              </w:rPr>
            </w:pPr>
            <w:r w:rsidRPr="002658FB">
              <w:rPr>
                <w:b/>
                <w:sz w:val="20"/>
                <w:szCs w:val="20"/>
              </w:rPr>
              <w:t>-</w:t>
            </w:r>
          </w:p>
        </w:tc>
        <w:tc>
          <w:tcPr>
            <w:tcW w:w="399" w:type="pct"/>
          </w:tcPr>
          <w:p w:rsidR="006B264F" w:rsidRPr="002658FB" w:rsidRDefault="006B264F" w:rsidP="00911C7B">
            <w:pPr>
              <w:rPr>
                <w:b/>
                <w:sz w:val="20"/>
                <w:szCs w:val="20"/>
              </w:rPr>
            </w:pPr>
            <w:r w:rsidRPr="002658FB">
              <w:rPr>
                <w:b/>
                <w:sz w:val="20"/>
                <w:szCs w:val="20"/>
              </w:rPr>
              <w:t>8:30 a 9:00</w:t>
            </w:r>
          </w:p>
        </w:tc>
        <w:tc>
          <w:tcPr>
            <w:tcW w:w="1047" w:type="pct"/>
          </w:tcPr>
          <w:p w:rsidR="006B264F" w:rsidRPr="002658FB" w:rsidRDefault="006B264F" w:rsidP="00951447">
            <w:pPr>
              <w:jc w:val="both"/>
              <w:rPr>
                <w:sz w:val="20"/>
                <w:szCs w:val="20"/>
              </w:rPr>
            </w:pPr>
            <w:r w:rsidRPr="002658FB">
              <w:rPr>
                <w:sz w:val="20"/>
                <w:szCs w:val="20"/>
              </w:rPr>
              <w:t>Inscripciones</w:t>
            </w:r>
          </w:p>
        </w:tc>
        <w:tc>
          <w:tcPr>
            <w:tcW w:w="1083" w:type="pct"/>
          </w:tcPr>
          <w:p w:rsidR="006B264F" w:rsidRPr="002658FB" w:rsidRDefault="006B264F" w:rsidP="00337697">
            <w:pPr>
              <w:jc w:val="both"/>
              <w:rPr>
                <w:sz w:val="20"/>
                <w:szCs w:val="20"/>
              </w:rPr>
            </w:pPr>
            <w:r w:rsidRPr="002658FB">
              <w:rPr>
                <w:sz w:val="20"/>
                <w:szCs w:val="20"/>
              </w:rPr>
              <w:t>-</w:t>
            </w:r>
          </w:p>
        </w:tc>
        <w:tc>
          <w:tcPr>
            <w:tcW w:w="2087" w:type="pct"/>
          </w:tcPr>
          <w:p w:rsidR="006B264F" w:rsidRPr="002658FB" w:rsidRDefault="006B264F" w:rsidP="00C4595F">
            <w:pPr>
              <w:jc w:val="both"/>
              <w:rPr>
                <w:sz w:val="20"/>
                <w:szCs w:val="20"/>
              </w:rPr>
            </w:pPr>
            <w:r w:rsidRPr="002658FB">
              <w:rPr>
                <w:sz w:val="20"/>
                <w:szCs w:val="20"/>
              </w:rPr>
              <w:t>-</w:t>
            </w:r>
          </w:p>
        </w:tc>
      </w:tr>
      <w:tr w:rsidR="00206E5D" w:rsidRPr="002658FB" w:rsidTr="006D0F37">
        <w:trPr>
          <w:jc w:val="center"/>
        </w:trPr>
        <w:tc>
          <w:tcPr>
            <w:tcW w:w="384" w:type="pct"/>
          </w:tcPr>
          <w:p w:rsidR="00206E5D" w:rsidRPr="002658FB" w:rsidRDefault="005B08D9" w:rsidP="00F23BF5">
            <w:pPr>
              <w:jc w:val="center"/>
              <w:rPr>
                <w:b/>
                <w:sz w:val="20"/>
                <w:szCs w:val="20"/>
              </w:rPr>
            </w:pPr>
            <w:r w:rsidRPr="002658FB">
              <w:rPr>
                <w:b/>
                <w:sz w:val="20"/>
                <w:szCs w:val="20"/>
              </w:rPr>
              <w:t>1</w:t>
            </w:r>
          </w:p>
        </w:tc>
        <w:tc>
          <w:tcPr>
            <w:tcW w:w="399" w:type="pct"/>
          </w:tcPr>
          <w:p w:rsidR="00785339" w:rsidRPr="002658FB" w:rsidRDefault="00785339" w:rsidP="00911C7B">
            <w:pPr>
              <w:rPr>
                <w:b/>
                <w:sz w:val="20"/>
                <w:szCs w:val="20"/>
              </w:rPr>
            </w:pPr>
            <w:r w:rsidRPr="002658FB">
              <w:rPr>
                <w:b/>
                <w:sz w:val="20"/>
                <w:szCs w:val="20"/>
              </w:rPr>
              <w:t>9:00 a</w:t>
            </w:r>
          </w:p>
          <w:p w:rsidR="00206E5D" w:rsidRPr="002658FB" w:rsidRDefault="00785339" w:rsidP="00911C7B">
            <w:pPr>
              <w:rPr>
                <w:b/>
                <w:sz w:val="20"/>
                <w:szCs w:val="20"/>
              </w:rPr>
            </w:pPr>
            <w:r w:rsidRPr="002658FB">
              <w:rPr>
                <w:b/>
                <w:sz w:val="20"/>
                <w:szCs w:val="20"/>
              </w:rPr>
              <w:t>9:2</w:t>
            </w:r>
            <w:r w:rsidR="005B08D9" w:rsidRPr="002658FB">
              <w:rPr>
                <w:b/>
                <w:sz w:val="20"/>
                <w:szCs w:val="20"/>
              </w:rPr>
              <w:t>0</w:t>
            </w:r>
          </w:p>
        </w:tc>
        <w:tc>
          <w:tcPr>
            <w:tcW w:w="1047" w:type="pct"/>
          </w:tcPr>
          <w:p w:rsidR="00206E5D" w:rsidRPr="002658FB" w:rsidRDefault="00206E5D" w:rsidP="00951447">
            <w:pPr>
              <w:jc w:val="both"/>
              <w:rPr>
                <w:sz w:val="20"/>
                <w:szCs w:val="20"/>
              </w:rPr>
            </w:pPr>
            <w:r w:rsidRPr="002658FB">
              <w:rPr>
                <w:sz w:val="20"/>
                <w:szCs w:val="20"/>
              </w:rPr>
              <w:t>“El agua como aspecto estratégico para el desarrollo de la Región”</w:t>
            </w:r>
          </w:p>
        </w:tc>
        <w:tc>
          <w:tcPr>
            <w:tcW w:w="1083" w:type="pct"/>
          </w:tcPr>
          <w:p w:rsidR="00206E5D" w:rsidRPr="002658FB" w:rsidRDefault="00337697" w:rsidP="00337697">
            <w:pPr>
              <w:jc w:val="both"/>
              <w:rPr>
                <w:sz w:val="20"/>
                <w:szCs w:val="20"/>
              </w:rPr>
            </w:pPr>
            <w:r w:rsidRPr="002658FB">
              <w:rPr>
                <w:sz w:val="20"/>
                <w:szCs w:val="20"/>
              </w:rPr>
              <w:t xml:space="preserve">Dra. </w:t>
            </w:r>
            <w:r w:rsidR="00206E5D" w:rsidRPr="002658FB">
              <w:rPr>
                <w:sz w:val="20"/>
                <w:szCs w:val="20"/>
              </w:rPr>
              <w:t>Marilyn Gudiño</w:t>
            </w:r>
            <w:r w:rsidRPr="002658FB">
              <w:rPr>
                <w:sz w:val="20"/>
                <w:szCs w:val="20"/>
              </w:rPr>
              <w:t xml:space="preserve">. Profesora de la </w:t>
            </w:r>
            <w:proofErr w:type="spellStart"/>
            <w:r w:rsidRPr="002658FB">
              <w:rPr>
                <w:sz w:val="20"/>
                <w:szCs w:val="20"/>
              </w:rPr>
              <w:t>UNCuyo</w:t>
            </w:r>
            <w:r w:rsidR="009B4EB9" w:rsidRPr="002658FB">
              <w:rPr>
                <w:sz w:val="20"/>
                <w:szCs w:val="20"/>
              </w:rPr>
              <w:t>-FFyL</w:t>
            </w:r>
            <w:proofErr w:type="spellEnd"/>
            <w:r w:rsidRPr="002658FB">
              <w:rPr>
                <w:sz w:val="20"/>
                <w:szCs w:val="20"/>
              </w:rPr>
              <w:t>.</w:t>
            </w:r>
            <w:r w:rsidR="00425E47">
              <w:rPr>
                <w:sz w:val="20"/>
                <w:szCs w:val="20"/>
              </w:rPr>
              <w:t xml:space="preserve"> </w:t>
            </w:r>
          </w:p>
        </w:tc>
        <w:tc>
          <w:tcPr>
            <w:tcW w:w="2087" w:type="pct"/>
          </w:tcPr>
          <w:p w:rsidR="00206E5D" w:rsidRPr="002658FB" w:rsidRDefault="00206E5D" w:rsidP="00425E47">
            <w:pPr>
              <w:jc w:val="both"/>
              <w:rPr>
                <w:sz w:val="20"/>
                <w:szCs w:val="20"/>
              </w:rPr>
            </w:pPr>
            <w:r w:rsidRPr="002658FB">
              <w:rPr>
                <w:sz w:val="20"/>
                <w:szCs w:val="20"/>
              </w:rPr>
              <w:t>Resaltar el rol del recurso hídrico en el Ordenamiento Territorial de la Región</w:t>
            </w:r>
            <w:r w:rsidR="00F23BF5" w:rsidRPr="002658FB">
              <w:rPr>
                <w:sz w:val="20"/>
                <w:szCs w:val="20"/>
              </w:rPr>
              <w:t>, en especial ante los nuevos escenarios climáticos</w:t>
            </w:r>
            <w:r w:rsidR="00425E47">
              <w:rPr>
                <w:sz w:val="20"/>
                <w:szCs w:val="20"/>
              </w:rPr>
              <w:t xml:space="preserve">. </w:t>
            </w:r>
            <w:hyperlink r:id="rId5" w:history="1">
              <w:r w:rsidR="00425E47" w:rsidRPr="004C5AAC">
                <w:rPr>
                  <w:rStyle w:val="Hipervnculo"/>
                  <w:sz w:val="20"/>
                  <w:szCs w:val="20"/>
                </w:rPr>
                <w:t>marilyngudino@yahoo.com.ar</w:t>
              </w:r>
            </w:hyperlink>
            <w:r w:rsidR="00425E47">
              <w:rPr>
                <w:sz w:val="20"/>
                <w:szCs w:val="20"/>
              </w:rPr>
              <w:t xml:space="preserve"> </w:t>
            </w:r>
          </w:p>
        </w:tc>
      </w:tr>
      <w:tr w:rsidR="00337697" w:rsidRPr="002658FB" w:rsidTr="006D0F37">
        <w:trPr>
          <w:jc w:val="center"/>
        </w:trPr>
        <w:tc>
          <w:tcPr>
            <w:tcW w:w="384" w:type="pct"/>
          </w:tcPr>
          <w:p w:rsidR="00337697" w:rsidRPr="002658FB" w:rsidRDefault="00337697" w:rsidP="00337697">
            <w:pPr>
              <w:jc w:val="center"/>
              <w:rPr>
                <w:b/>
                <w:sz w:val="20"/>
                <w:szCs w:val="20"/>
              </w:rPr>
            </w:pPr>
            <w:r w:rsidRPr="002658FB">
              <w:rPr>
                <w:b/>
                <w:sz w:val="20"/>
                <w:szCs w:val="20"/>
              </w:rPr>
              <w:t>2</w:t>
            </w:r>
          </w:p>
        </w:tc>
        <w:tc>
          <w:tcPr>
            <w:tcW w:w="399" w:type="pct"/>
          </w:tcPr>
          <w:p w:rsidR="00337697" w:rsidRPr="002658FB" w:rsidRDefault="00337697" w:rsidP="00337697">
            <w:pPr>
              <w:jc w:val="both"/>
              <w:rPr>
                <w:b/>
                <w:sz w:val="20"/>
                <w:szCs w:val="20"/>
              </w:rPr>
            </w:pPr>
            <w:r w:rsidRPr="002658FB">
              <w:rPr>
                <w:b/>
                <w:sz w:val="20"/>
                <w:szCs w:val="20"/>
              </w:rPr>
              <w:t>9:25</w:t>
            </w:r>
          </w:p>
          <w:p w:rsidR="00337697" w:rsidRPr="002658FB" w:rsidRDefault="00337697" w:rsidP="00337697">
            <w:pPr>
              <w:jc w:val="both"/>
              <w:rPr>
                <w:b/>
                <w:sz w:val="20"/>
                <w:szCs w:val="20"/>
              </w:rPr>
            </w:pPr>
            <w:r w:rsidRPr="002658FB">
              <w:rPr>
                <w:b/>
                <w:sz w:val="20"/>
                <w:szCs w:val="20"/>
              </w:rPr>
              <w:t>a 9:45</w:t>
            </w:r>
          </w:p>
        </w:tc>
        <w:tc>
          <w:tcPr>
            <w:tcW w:w="1047" w:type="pct"/>
          </w:tcPr>
          <w:p w:rsidR="00337697" w:rsidRPr="002658FB" w:rsidRDefault="00337697" w:rsidP="00337697">
            <w:pPr>
              <w:jc w:val="both"/>
              <w:rPr>
                <w:sz w:val="20"/>
                <w:szCs w:val="20"/>
              </w:rPr>
            </w:pPr>
            <w:r w:rsidRPr="002658FB">
              <w:rPr>
                <w:sz w:val="20"/>
                <w:szCs w:val="20"/>
              </w:rPr>
              <w:t>Viabilidad de detección de cambios en series hidrometeorológicas</w:t>
            </w:r>
          </w:p>
        </w:tc>
        <w:tc>
          <w:tcPr>
            <w:tcW w:w="1083" w:type="pct"/>
          </w:tcPr>
          <w:p w:rsidR="00337697" w:rsidRPr="002658FB" w:rsidRDefault="00337697" w:rsidP="00337697">
            <w:pPr>
              <w:jc w:val="both"/>
              <w:rPr>
                <w:sz w:val="20"/>
                <w:szCs w:val="20"/>
              </w:rPr>
            </w:pPr>
            <w:r w:rsidRPr="002658FB">
              <w:rPr>
                <w:sz w:val="20"/>
                <w:szCs w:val="20"/>
              </w:rPr>
              <w:t xml:space="preserve">Ing. M. Sc. Patricia López. Investigadora del INA-CRA. </w:t>
            </w:r>
          </w:p>
        </w:tc>
        <w:tc>
          <w:tcPr>
            <w:tcW w:w="2087" w:type="pct"/>
          </w:tcPr>
          <w:p w:rsidR="00337697" w:rsidRPr="002658FB" w:rsidRDefault="00337697" w:rsidP="00425E47">
            <w:pPr>
              <w:jc w:val="both"/>
              <w:rPr>
                <w:sz w:val="20"/>
                <w:szCs w:val="20"/>
              </w:rPr>
            </w:pPr>
            <w:r w:rsidRPr="002658FB">
              <w:rPr>
                <w:sz w:val="20"/>
                <w:szCs w:val="20"/>
              </w:rPr>
              <w:t>Presentar resultados de las relaciones de potencia de la prueba Mann-Kendall</w:t>
            </w:r>
            <w:r w:rsidR="00425E47">
              <w:rPr>
                <w:sz w:val="20"/>
                <w:szCs w:val="20"/>
              </w:rPr>
              <w:t xml:space="preserve">. </w:t>
            </w:r>
            <w:hyperlink r:id="rId6" w:history="1">
              <w:r w:rsidR="00425E47" w:rsidRPr="004C5AAC">
                <w:rPr>
                  <w:rStyle w:val="Hipervnculo"/>
                  <w:sz w:val="20"/>
                  <w:szCs w:val="20"/>
                </w:rPr>
                <w:t>pmlopez@ina.gob.ar</w:t>
              </w:r>
            </w:hyperlink>
            <w:r w:rsidR="00425E47">
              <w:rPr>
                <w:sz w:val="20"/>
                <w:szCs w:val="20"/>
              </w:rPr>
              <w:t xml:space="preserve"> </w:t>
            </w:r>
          </w:p>
        </w:tc>
      </w:tr>
      <w:tr w:rsidR="005956FB" w:rsidRPr="002658FB" w:rsidTr="006D0F37">
        <w:trPr>
          <w:jc w:val="center"/>
        </w:trPr>
        <w:tc>
          <w:tcPr>
            <w:tcW w:w="384" w:type="pct"/>
          </w:tcPr>
          <w:p w:rsidR="005956FB" w:rsidRPr="002658FB" w:rsidRDefault="005956FB" w:rsidP="005956FB">
            <w:pPr>
              <w:jc w:val="center"/>
              <w:rPr>
                <w:b/>
                <w:sz w:val="20"/>
                <w:szCs w:val="20"/>
              </w:rPr>
            </w:pPr>
            <w:r w:rsidRPr="002658FB">
              <w:rPr>
                <w:b/>
                <w:sz w:val="20"/>
                <w:szCs w:val="20"/>
              </w:rPr>
              <w:t>3</w:t>
            </w:r>
          </w:p>
        </w:tc>
        <w:tc>
          <w:tcPr>
            <w:tcW w:w="399" w:type="pct"/>
          </w:tcPr>
          <w:p w:rsidR="005956FB" w:rsidRPr="002658FB" w:rsidRDefault="005956FB" w:rsidP="005956FB">
            <w:pPr>
              <w:jc w:val="both"/>
              <w:rPr>
                <w:b/>
                <w:sz w:val="20"/>
                <w:szCs w:val="20"/>
              </w:rPr>
            </w:pPr>
            <w:r w:rsidRPr="002658FB">
              <w:rPr>
                <w:b/>
                <w:sz w:val="20"/>
                <w:szCs w:val="20"/>
              </w:rPr>
              <w:t>9:50 a 10:10</w:t>
            </w:r>
          </w:p>
        </w:tc>
        <w:tc>
          <w:tcPr>
            <w:tcW w:w="1047" w:type="pct"/>
          </w:tcPr>
          <w:p w:rsidR="005956FB" w:rsidRPr="002658FB" w:rsidRDefault="005956FB" w:rsidP="005956FB">
            <w:pPr>
              <w:jc w:val="both"/>
              <w:rPr>
                <w:sz w:val="20"/>
                <w:szCs w:val="20"/>
              </w:rPr>
            </w:pPr>
            <w:r w:rsidRPr="002658FB">
              <w:rPr>
                <w:sz w:val="20"/>
                <w:szCs w:val="20"/>
              </w:rPr>
              <w:t>“Estimación de los requerimientos hídricos por parte de las industrias alimenticias de Mendoza y la potencialidad de reuso agrícola”</w:t>
            </w:r>
          </w:p>
        </w:tc>
        <w:tc>
          <w:tcPr>
            <w:tcW w:w="1083" w:type="pct"/>
          </w:tcPr>
          <w:p w:rsidR="005956FB" w:rsidRPr="002658FB" w:rsidRDefault="005956FB" w:rsidP="005956FB">
            <w:pPr>
              <w:jc w:val="both"/>
              <w:rPr>
                <w:sz w:val="20"/>
                <w:szCs w:val="20"/>
              </w:rPr>
            </w:pPr>
            <w:r w:rsidRPr="002658FB">
              <w:rPr>
                <w:sz w:val="20"/>
                <w:szCs w:val="20"/>
              </w:rPr>
              <w:t xml:space="preserve">Mg. Ing. Alicia Duek. Investigadora del INA-CELA. </w:t>
            </w:r>
          </w:p>
        </w:tc>
        <w:tc>
          <w:tcPr>
            <w:tcW w:w="2087" w:type="pct"/>
          </w:tcPr>
          <w:p w:rsidR="005956FB" w:rsidRPr="002658FB" w:rsidRDefault="005956FB" w:rsidP="00425E47">
            <w:pPr>
              <w:jc w:val="both"/>
              <w:rPr>
                <w:sz w:val="20"/>
                <w:szCs w:val="20"/>
              </w:rPr>
            </w:pPr>
            <w:r w:rsidRPr="002658FB">
              <w:rPr>
                <w:sz w:val="20"/>
                <w:szCs w:val="20"/>
              </w:rPr>
              <w:t>Presentar una estimación del volumen de agua utilizado por las industrias alimenticias de la Provincia de Mendoza, atendiendo a diferentes escenarios de eficiencia, así como analizar la potencialidad del aprovechamiento para riego de los efluentes generados.</w:t>
            </w:r>
            <w:r w:rsidR="00425E47">
              <w:rPr>
                <w:sz w:val="20"/>
                <w:szCs w:val="20"/>
              </w:rPr>
              <w:t xml:space="preserve"> </w:t>
            </w:r>
            <w:hyperlink r:id="rId7" w:history="1">
              <w:r w:rsidR="00425E47" w:rsidRPr="004C5AAC">
                <w:rPr>
                  <w:rStyle w:val="Hipervnculo"/>
                  <w:sz w:val="20"/>
                  <w:szCs w:val="20"/>
                </w:rPr>
                <w:t>aliciaduek@yahoo.com.ar</w:t>
              </w:r>
            </w:hyperlink>
            <w:r w:rsidR="00425E47">
              <w:rPr>
                <w:sz w:val="20"/>
                <w:szCs w:val="20"/>
              </w:rPr>
              <w:t xml:space="preserve"> </w:t>
            </w:r>
          </w:p>
        </w:tc>
      </w:tr>
      <w:tr w:rsidR="005956FB" w:rsidRPr="002658FB" w:rsidTr="006D0F37">
        <w:trPr>
          <w:jc w:val="center"/>
        </w:trPr>
        <w:tc>
          <w:tcPr>
            <w:tcW w:w="384" w:type="pct"/>
          </w:tcPr>
          <w:p w:rsidR="005956FB" w:rsidRPr="002658FB" w:rsidRDefault="005956FB" w:rsidP="005956FB">
            <w:pPr>
              <w:jc w:val="center"/>
              <w:rPr>
                <w:b/>
                <w:sz w:val="20"/>
                <w:szCs w:val="20"/>
              </w:rPr>
            </w:pPr>
            <w:r w:rsidRPr="002658FB">
              <w:rPr>
                <w:b/>
                <w:sz w:val="20"/>
                <w:szCs w:val="20"/>
              </w:rPr>
              <w:t>4</w:t>
            </w:r>
          </w:p>
        </w:tc>
        <w:tc>
          <w:tcPr>
            <w:tcW w:w="399" w:type="pct"/>
          </w:tcPr>
          <w:p w:rsidR="005956FB" w:rsidRPr="002658FB" w:rsidRDefault="005956FB" w:rsidP="005956FB">
            <w:pPr>
              <w:rPr>
                <w:b/>
                <w:sz w:val="20"/>
                <w:szCs w:val="20"/>
              </w:rPr>
            </w:pPr>
            <w:r w:rsidRPr="002658FB">
              <w:rPr>
                <w:b/>
                <w:sz w:val="20"/>
                <w:szCs w:val="20"/>
              </w:rPr>
              <w:t>10:15 a 10:35</w:t>
            </w:r>
          </w:p>
        </w:tc>
        <w:tc>
          <w:tcPr>
            <w:tcW w:w="1047" w:type="pct"/>
          </w:tcPr>
          <w:p w:rsidR="005956FB" w:rsidRPr="002658FB" w:rsidRDefault="005956FB" w:rsidP="005956FB">
            <w:pPr>
              <w:jc w:val="both"/>
              <w:rPr>
                <w:sz w:val="20"/>
                <w:szCs w:val="20"/>
              </w:rPr>
            </w:pPr>
            <w:r w:rsidRPr="002658FB">
              <w:rPr>
                <w:sz w:val="20"/>
                <w:szCs w:val="20"/>
              </w:rPr>
              <w:t>“</w:t>
            </w:r>
            <w:r w:rsidR="0045281A" w:rsidRPr="0045281A">
              <w:rPr>
                <w:sz w:val="20"/>
                <w:szCs w:val="20"/>
              </w:rPr>
              <w:t>Proyectos de modernización de riego en Argentina.</w:t>
            </w:r>
            <w:r w:rsidRPr="002658FB">
              <w:rPr>
                <w:sz w:val="20"/>
                <w:szCs w:val="20"/>
              </w:rPr>
              <w:t>”</w:t>
            </w:r>
          </w:p>
        </w:tc>
        <w:tc>
          <w:tcPr>
            <w:tcW w:w="1083" w:type="pct"/>
          </w:tcPr>
          <w:p w:rsidR="005956FB" w:rsidRDefault="006D0F37" w:rsidP="005956FB">
            <w:pPr>
              <w:jc w:val="both"/>
              <w:rPr>
                <w:sz w:val="20"/>
                <w:szCs w:val="20"/>
                <w:lang w:val="pt-BR"/>
              </w:rPr>
            </w:pPr>
            <w:r w:rsidRPr="002658FB">
              <w:rPr>
                <w:sz w:val="20"/>
                <w:szCs w:val="20"/>
                <w:lang w:val="pt-BR"/>
              </w:rPr>
              <w:t xml:space="preserve">Ing. </w:t>
            </w:r>
            <w:r w:rsidR="005956FB" w:rsidRPr="002658FB">
              <w:rPr>
                <w:sz w:val="20"/>
                <w:szCs w:val="20"/>
                <w:lang w:val="pt-BR"/>
              </w:rPr>
              <w:t xml:space="preserve">Fernando </w:t>
            </w:r>
            <w:proofErr w:type="spellStart"/>
            <w:r w:rsidR="005956FB" w:rsidRPr="002658FB">
              <w:rPr>
                <w:sz w:val="20"/>
                <w:szCs w:val="20"/>
                <w:lang w:val="pt-BR"/>
              </w:rPr>
              <w:t>Gomensoro</w:t>
            </w:r>
            <w:proofErr w:type="spellEnd"/>
            <w:r w:rsidRPr="002658FB">
              <w:rPr>
                <w:sz w:val="20"/>
                <w:szCs w:val="20"/>
                <w:lang w:val="pt-BR"/>
              </w:rPr>
              <w:t>.</w:t>
            </w:r>
          </w:p>
          <w:p w:rsidR="00AC39CF" w:rsidRPr="00AC39CF" w:rsidRDefault="00AC39CF" w:rsidP="00AC39CF">
            <w:pPr>
              <w:shd w:val="clear" w:color="auto" w:fill="FFFFFF"/>
              <w:rPr>
                <w:sz w:val="20"/>
                <w:szCs w:val="20"/>
                <w:lang w:val="pt-BR"/>
              </w:rPr>
            </w:pPr>
            <w:r w:rsidRPr="00AC39CF">
              <w:rPr>
                <w:sz w:val="20"/>
                <w:szCs w:val="20"/>
                <w:lang w:val="pt-BR"/>
              </w:rPr>
              <w:t>Coordinador de proyectos PROSAP</w:t>
            </w:r>
          </w:p>
          <w:p w:rsidR="00AC39CF" w:rsidRPr="002658FB" w:rsidRDefault="00AC39CF" w:rsidP="00AC39CF">
            <w:pPr>
              <w:shd w:val="clear" w:color="auto" w:fill="FFFFFF"/>
              <w:rPr>
                <w:sz w:val="20"/>
                <w:szCs w:val="20"/>
                <w:lang w:val="pt-BR"/>
              </w:rPr>
            </w:pPr>
          </w:p>
        </w:tc>
        <w:tc>
          <w:tcPr>
            <w:tcW w:w="2087" w:type="pct"/>
          </w:tcPr>
          <w:p w:rsidR="005956FB" w:rsidRPr="002658FB" w:rsidRDefault="00AC39CF" w:rsidP="00425E47">
            <w:pPr>
              <w:jc w:val="both"/>
              <w:rPr>
                <w:b/>
                <w:sz w:val="20"/>
                <w:szCs w:val="20"/>
              </w:rPr>
            </w:pPr>
            <w:r w:rsidRPr="00AC39CF">
              <w:rPr>
                <w:sz w:val="20"/>
                <w:szCs w:val="20"/>
              </w:rPr>
              <w:t>Presentar los avances en modernización de regadíos llevados a cabo por el PROSAP, específicamente en desarrollo de Riego presurizado colectivo gravitacional y su aporte a mitigación de efectos del CC: 1 - ahorro de agua y energía. 2 - Dis</w:t>
            </w:r>
            <w:r>
              <w:rPr>
                <w:sz w:val="20"/>
                <w:szCs w:val="20"/>
              </w:rPr>
              <w:t xml:space="preserve">minución de daños </w:t>
            </w:r>
            <w:proofErr w:type="spellStart"/>
            <w:r>
              <w:rPr>
                <w:sz w:val="20"/>
                <w:szCs w:val="20"/>
              </w:rPr>
              <w:t>aluvionales</w:t>
            </w:r>
            <w:proofErr w:type="spellEnd"/>
            <w:r w:rsidR="005956FB" w:rsidRPr="002658FB">
              <w:rPr>
                <w:sz w:val="20"/>
                <w:szCs w:val="20"/>
              </w:rPr>
              <w:t>.</w:t>
            </w:r>
            <w:r w:rsidR="00425E47">
              <w:rPr>
                <w:sz w:val="20"/>
                <w:szCs w:val="20"/>
              </w:rPr>
              <w:t xml:space="preserve"> </w:t>
            </w:r>
            <w:hyperlink r:id="rId8" w:history="1">
              <w:r w:rsidR="00425E47" w:rsidRPr="004C5AAC">
                <w:rPr>
                  <w:rStyle w:val="Hipervnculo"/>
                  <w:sz w:val="20"/>
                  <w:szCs w:val="20"/>
                </w:rPr>
                <w:t>fegomen@irrigacion.gov.ar</w:t>
              </w:r>
            </w:hyperlink>
            <w:r w:rsidR="00425E47">
              <w:rPr>
                <w:sz w:val="20"/>
                <w:szCs w:val="20"/>
              </w:rPr>
              <w:t xml:space="preserve"> </w:t>
            </w:r>
          </w:p>
        </w:tc>
      </w:tr>
      <w:tr w:rsidR="005956FB" w:rsidRPr="002658FB" w:rsidTr="006D0F37">
        <w:trPr>
          <w:jc w:val="center"/>
        </w:trPr>
        <w:tc>
          <w:tcPr>
            <w:tcW w:w="384" w:type="pct"/>
          </w:tcPr>
          <w:p w:rsidR="005956FB" w:rsidRPr="002658FB" w:rsidRDefault="005956FB" w:rsidP="005956FB">
            <w:pPr>
              <w:jc w:val="center"/>
              <w:rPr>
                <w:b/>
                <w:sz w:val="20"/>
                <w:szCs w:val="20"/>
              </w:rPr>
            </w:pPr>
            <w:r w:rsidRPr="002658FB">
              <w:rPr>
                <w:b/>
                <w:sz w:val="20"/>
                <w:szCs w:val="20"/>
              </w:rPr>
              <w:t>5</w:t>
            </w:r>
          </w:p>
        </w:tc>
        <w:tc>
          <w:tcPr>
            <w:tcW w:w="399" w:type="pct"/>
          </w:tcPr>
          <w:p w:rsidR="005956FB" w:rsidRPr="002658FB" w:rsidRDefault="005956FB" w:rsidP="005956FB">
            <w:pPr>
              <w:jc w:val="both"/>
              <w:rPr>
                <w:b/>
                <w:sz w:val="20"/>
                <w:szCs w:val="20"/>
              </w:rPr>
            </w:pPr>
            <w:r w:rsidRPr="002658FB">
              <w:rPr>
                <w:b/>
                <w:sz w:val="20"/>
                <w:szCs w:val="20"/>
              </w:rPr>
              <w:t>10:40 a 11:00</w:t>
            </w:r>
          </w:p>
        </w:tc>
        <w:tc>
          <w:tcPr>
            <w:tcW w:w="1047" w:type="pct"/>
          </w:tcPr>
          <w:p w:rsidR="005956FB" w:rsidRPr="002658FB" w:rsidRDefault="005956FB" w:rsidP="005956FB">
            <w:pPr>
              <w:spacing w:before="40" w:after="20"/>
              <w:rPr>
                <w:sz w:val="20"/>
                <w:szCs w:val="20"/>
              </w:rPr>
            </w:pPr>
            <w:r w:rsidRPr="002658FB">
              <w:rPr>
                <w:sz w:val="20"/>
                <w:szCs w:val="20"/>
              </w:rPr>
              <w:t>Evaluación de tolerancia al NaCl en cultivares</w:t>
            </w:r>
          </w:p>
          <w:p w:rsidR="005956FB" w:rsidRPr="002658FB" w:rsidRDefault="005956FB" w:rsidP="005956FB">
            <w:pPr>
              <w:jc w:val="both"/>
              <w:rPr>
                <w:sz w:val="20"/>
                <w:szCs w:val="20"/>
              </w:rPr>
            </w:pPr>
            <w:r w:rsidRPr="002658FB">
              <w:rPr>
                <w:sz w:val="20"/>
                <w:szCs w:val="20"/>
              </w:rPr>
              <w:t>viníferas y portainjertos híbridos del género vitis</w:t>
            </w:r>
          </w:p>
        </w:tc>
        <w:tc>
          <w:tcPr>
            <w:tcW w:w="1083" w:type="pct"/>
          </w:tcPr>
          <w:p w:rsidR="005956FB" w:rsidRPr="002658FB" w:rsidRDefault="005956FB" w:rsidP="005956FB">
            <w:pPr>
              <w:rPr>
                <w:sz w:val="20"/>
                <w:szCs w:val="20"/>
              </w:rPr>
            </w:pPr>
            <w:r w:rsidRPr="002658FB">
              <w:rPr>
                <w:sz w:val="20"/>
                <w:szCs w:val="20"/>
              </w:rPr>
              <w:t xml:space="preserve">Ing. Leandro Martin. Docente e investigador de la UNCuyo-FCA. </w:t>
            </w:r>
          </w:p>
        </w:tc>
        <w:tc>
          <w:tcPr>
            <w:tcW w:w="2087" w:type="pct"/>
          </w:tcPr>
          <w:p w:rsidR="005956FB" w:rsidRPr="002658FB" w:rsidRDefault="005956FB" w:rsidP="00425E47">
            <w:pPr>
              <w:jc w:val="both"/>
              <w:rPr>
                <w:sz w:val="20"/>
                <w:szCs w:val="20"/>
              </w:rPr>
            </w:pPr>
            <w:r w:rsidRPr="002658FB">
              <w:rPr>
                <w:sz w:val="20"/>
                <w:szCs w:val="20"/>
              </w:rPr>
              <w:t xml:space="preserve">Presentar los principales resultados obtenidos en la selección de cultivares de vid resistentes a salinidad considerando el reúso de agua o ante un incremento de aguas salinas en el futuro. </w:t>
            </w:r>
            <w:hyperlink r:id="rId9" w:history="1">
              <w:r w:rsidR="00425E47" w:rsidRPr="004C5AAC">
                <w:rPr>
                  <w:rStyle w:val="Hipervnculo"/>
                  <w:sz w:val="20"/>
                  <w:szCs w:val="20"/>
                </w:rPr>
                <w:t>leandrodmartin@gmail.com</w:t>
              </w:r>
            </w:hyperlink>
            <w:r w:rsidR="00425E47">
              <w:rPr>
                <w:sz w:val="20"/>
                <w:szCs w:val="20"/>
              </w:rPr>
              <w:t xml:space="preserve"> </w:t>
            </w:r>
          </w:p>
        </w:tc>
      </w:tr>
      <w:tr w:rsidR="005956FB" w:rsidRPr="002658FB" w:rsidTr="00532C18">
        <w:trPr>
          <w:jc w:val="center"/>
        </w:trPr>
        <w:tc>
          <w:tcPr>
            <w:tcW w:w="5000" w:type="pct"/>
            <w:gridSpan w:val="5"/>
          </w:tcPr>
          <w:p w:rsidR="005956FB" w:rsidRPr="002658FB" w:rsidRDefault="005956FB" w:rsidP="005956FB">
            <w:pPr>
              <w:jc w:val="center"/>
              <w:rPr>
                <w:b/>
                <w:sz w:val="20"/>
                <w:szCs w:val="20"/>
              </w:rPr>
            </w:pPr>
            <w:r w:rsidRPr="002658FB">
              <w:rPr>
                <w:b/>
                <w:sz w:val="20"/>
                <w:szCs w:val="20"/>
              </w:rPr>
              <w:t>Pausa de café</w:t>
            </w:r>
          </w:p>
        </w:tc>
      </w:tr>
      <w:tr w:rsidR="005956FB" w:rsidRPr="002658FB" w:rsidTr="006D0F37">
        <w:trPr>
          <w:jc w:val="center"/>
        </w:trPr>
        <w:tc>
          <w:tcPr>
            <w:tcW w:w="384" w:type="pct"/>
          </w:tcPr>
          <w:p w:rsidR="005956FB" w:rsidRPr="002658FB" w:rsidRDefault="005956FB" w:rsidP="005956FB">
            <w:pPr>
              <w:jc w:val="center"/>
              <w:rPr>
                <w:b/>
                <w:sz w:val="20"/>
                <w:szCs w:val="20"/>
              </w:rPr>
            </w:pPr>
            <w:r w:rsidRPr="002658FB">
              <w:rPr>
                <w:b/>
                <w:sz w:val="20"/>
                <w:szCs w:val="20"/>
              </w:rPr>
              <w:t>6</w:t>
            </w:r>
          </w:p>
        </w:tc>
        <w:tc>
          <w:tcPr>
            <w:tcW w:w="399" w:type="pct"/>
          </w:tcPr>
          <w:p w:rsidR="005956FB" w:rsidRPr="002658FB" w:rsidRDefault="005956FB" w:rsidP="005956FB">
            <w:pPr>
              <w:rPr>
                <w:b/>
                <w:sz w:val="20"/>
                <w:szCs w:val="20"/>
              </w:rPr>
            </w:pPr>
            <w:r w:rsidRPr="002658FB">
              <w:rPr>
                <w:b/>
                <w:sz w:val="20"/>
                <w:szCs w:val="20"/>
              </w:rPr>
              <w:t>11:20 a 11:40</w:t>
            </w:r>
          </w:p>
        </w:tc>
        <w:tc>
          <w:tcPr>
            <w:tcW w:w="1047" w:type="pct"/>
          </w:tcPr>
          <w:p w:rsidR="005956FB" w:rsidRPr="002658FB" w:rsidRDefault="005956FB" w:rsidP="005956FB">
            <w:pPr>
              <w:jc w:val="both"/>
              <w:rPr>
                <w:sz w:val="20"/>
                <w:szCs w:val="20"/>
              </w:rPr>
            </w:pPr>
            <w:r w:rsidRPr="002658FB">
              <w:rPr>
                <w:sz w:val="20"/>
                <w:szCs w:val="20"/>
              </w:rPr>
              <w:t>Vida silvestre de los bosques templados del cono sur: una estrecha relación con el agua.</w:t>
            </w:r>
          </w:p>
        </w:tc>
        <w:tc>
          <w:tcPr>
            <w:tcW w:w="1083" w:type="pct"/>
          </w:tcPr>
          <w:p w:rsidR="005956FB" w:rsidRPr="002658FB" w:rsidRDefault="005956FB" w:rsidP="005956FB">
            <w:pPr>
              <w:rPr>
                <w:sz w:val="20"/>
                <w:szCs w:val="20"/>
              </w:rPr>
            </w:pPr>
            <w:r w:rsidRPr="002658FB">
              <w:rPr>
                <w:sz w:val="20"/>
                <w:szCs w:val="20"/>
              </w:rPr>
              <w:t>Pablo Vergara Egert, PhD, Facultad Tecnológica, Universidad de Santiago de Chile</w:t>
            </w:r>
          </w:p>
        </w:tc>
        <w:tc>
          <w:tcPr>
            <w:tcW w:w="2087" w:type="pct"/>
          </w:tcPr>
          <w:p w:rsidR="005956FB" w:rsidRPr="002658FB" w:rsidRDefault="005956FB" w:rsidP="005956FB">
            <w:pPr>
              <w:jc w:val="both"/>
              <w:rPr>
                <w:sz w:val="20"/>
                <w:szCs w:val="20"/>
              </w:rPr>
            </w:pPr>
            <w:r w:rsidRPr="002658FB">
              <w:rPr>
                <w:sz w:val="20"/>
                <w:szCs w:val="20"/>
              </w:rPr>
              <w:t>Los animales silvestres de los bosques templados del cono sur destacan como un componente emergente del ciclo del agua en estos ecosistemas. Se presentan los ejemplos de las aves especialistas de bosque.</w:t>
            </w:r>
          </w:p>
        </w:tc>
      </w:tr>
      <w:tr w:rsidR="005956FB" w:rsidRPr="002658FB" w:rsidTr="006D0F37">
        <w:trPr>
          <w:jc w:val="center"/>
        </w:trPr>
        <w:tc>
          <w:tcPr>
            <w:tcW w:w="384" w:type="pct"/>
          </w:tcPr>
          <w:p w:rsidR="005956FB" w:rsidRPr="002658FB" w:rsidRDefault="005956FB" w:rsidP="005956FB">
            <w:pPr>
              <w:jc w:val="center"/>
              <w:rPr>
                <w:b/>
                <w:sz w:val="20"/>
                <w:szCs w:val="20"/>
              </w:rPr>
            </w:pPr>
            <w:r w:rsidRPr="002658FB">
              <w:rPr>
                <w:b/>
                <w:sz w:val="20"/>
                <w:szCs w:val="20"/>
              </w:rPr>
              <w:t>7</w:t>
            </w:r>
          </w:p>
        </w:tc>
        <w:tc>
          <w:tcPr>
            <w:tcW w:w="399" w:type="pct"/>
          </w:tcPr>
          <w:p w:rsidR="005956FB" w:rsidRPr="002658FB" w:rsidRDefault="005956FB" w:rsidP="005956FB">
            <w:pPr>
              <w:jc w:val="both"/>
              <w:rPr>
                <w:b/>
                <w:sz w:val="20"/>
                <w:szCs w:val="20"/>
              </w:rPr>
            </w:pPr>
            <w:r w:rsidRPr="002658FB">
              <w:rPr>
                <w:b/>
                <w:sz w:val="20"/>
                <w:szCs w:val="20"/>
              </w:rPr>
              <w:t>11:45 a 12:05</w:t>
            </w:r>
          </w:p>
        </w:tc>
        <w:tc>
          <w:tcPr>
            <w:tcW w:w="1047" w:type="pct"/>
          </w:tcPr>
          <w:p w:rsidR="005956FB" w:rsidRPr="002658FB" w:rsidRDefault="005956FB" w:rsidP="005956FB">
            <w:pPr>
              <w:jc w:val="both"/>
              <w:rPr>
                <w:sz w:val="20"/>
                <w:szCs w:val="20"/>
              </w:rPr>
            </w:pPr>
            <w:r w:rsidRPr="002658FB">
              <w:rPr>
                <w:sz w:val="20"/>
                <w:szCs w:val="20"/>
              </w:rPr>
              <w:t>Materiales mesoporosos en el tratamiento de aguas: uso de cenizas como sustrato</w:t>
            </w:r>
          </w:p>
        </w:tc>
        <w:tc>
          <w:tcPr>
            <w:tcW w:w="1083" w:type="pct"/>
          </w:tcPr>
          <w:p w:rsidR="005956FB" w:rsidRPr="002658FB" w:rsidRDefault="005956FB" w:rsidP="005956FB">
            <w:pPr>
              <w:rPr>
                <w:sz w:val="20"/>
                <w:szCs w:val="20"/>
              </w:rPr>
            </w:pPr>
            <w:r w:rsidRPr="002658FB">
              <w:rPr>
                <w:sz w:val="20"/>
                <w:szCs w:val="20"/>
              </w:rPr>
              <w:t>Jaime Pizarro Konczak, PhD Facultad de Ingeniería, Universidad de Santiago de Chile</w:t>
            </w:r>
          </w:p>
        </w:tc>
        <w:tc>
          <w:tcPr>
            <w:tcW w:w="2087" w:type="pct"/>
          </w:tcPr>
          <w:p w:rsidR="005956FB" w:rsidRPr="002658FB" w:rsidRDefault="005956FB" w:rsidP="007D6938">
            <w:pPr>
              <w:jc w:val="both"/>
              <w:rPr>
                <w:sz w:val="20"/>
                <w:szCs w:val="20"/>
              </w:rPr>
            </w:pPr>
            <w:r w:rsidRPr="002658FB">
              <w:rPr>
                <w:sz w:val="20"/>
                <w:szCs w:val="20"/>
              </w:rPr>
              <w:t>Mostrar una nueva aplicación para el reuso de cenizas como sustrato para el desarrollo de una matriz adsorbedora de metales desde aguas indu</w:t>
            </w:r>
            <w:r w:rsidR="00756FF6">
              <w:rPr>
                <w:sz w:val="20"/>
                <w:szCs w:val="20"/>
              </w:rPr>
              <w:t>striales para contribuir al uso</w:t>
            </w:r>
            <w:r w:rsidRPr="002658FB">
              <w:rPr>
                <w:sz w:val="20"/>
                <w:szCs w:val="20"/>
              </w:rPr>
              <w:t xml:space="preserve"> sustentable de los recursos hídricos</w:t>
            </w:r>
            <w:r w:rsidR="007D6938">
              <w:rPr>
                <w:sz w:val="20"/>
                <w:szCs w:val="20"/>
              </w:rPr>
              <w:t xml:space="preserve">. </w:t>
            </w:r>
            <w:hyperlink r:id="rId10" w:history="1">
              <w:r w:rsidR="007D6938" w:rsidRPr="00EA16E8">
                <w:rPr>
                  <w:rStyle w:val="Hipervnculo"/>
                  <w:sz w:val="20"/>
                  <w:szCs w:val="20"/>
                </w:rPr>
                <w:t>jaime.pizarro@usach.cl</w:t>
              </w:r>
            </w:hyperlink>
            <w:r w:rsidR="007D6938">
              <w:rPr>
                <w:sz w:val="20"/>
                <w:szCs w:val="20"/>
              </w:rPr>
              <w:t xml:space="preserve"> </w:t>
            </w:r>
          </w:p>
        </w:tc>
      </w:tr>
      <w:tr w:rsidR="005956FB" w:rsidRPr="002658FB" w:rsidTr="006D0F37">
        <w:trPr>
          <w:jc w:val="center"/>
        </w:trPr>
        <w:tc>
          <w:tcPr>
            <w:tcW w:w="384" w:type="pct"/>
          </w:tcPr>
          <w:p w:rsidR="005956FB" w:rsidRPr="002658FB" w:rsidRDefault="005956FB" w:rsidP="005956FB">
            <w:pPr>
              <w:jc w:val="center"/>
              <w:rPr>
                <w:b/>
                <w:sz w:val="20"/>
                <w:szCs w:val="20"/>
              </w:rPr>
            </w:pPr>
            <w:r w:rsidRPr="002658FB">
              <w:rPr>
                <w:b/>
                <w:sz w:val="20"/>
                <w:szCs w:val="20"/>
              </w:rPr>
              <w:t>8</w:t>
            </w:r>
          </w:p>
        </w:tc>
        <w:tc>
          <w:tcPr>
            <w:tcW w:w="399" w:type="pct"/>
          </w:tcPr>
          <w:p w:rsidR="005956FB" w:rsidRPr="002658FB" w:rsidRDefault="005956FB" w:rsidP="005956FB">
            <w:pPr>
              <w:rPr>
                <w:b/>
                <w:sz w:val="20"/>
                <w:szCs w:val="20"/>
              </w:rPr>
            </w:pPr>
            <w:r w:rsidRPr="002658FB">
              <w:rPr>
                <w:b/>
                <w:sz w:val="20"/>
                <w:szCs w:val="20"/>
              </w:rPr>
              <w:t>12:10 a 12:30</w:t>
            </w:r>
          </w:p>
        </w:tc>
        <w:tc>
          <w:tcPr>
            <w:tcW w:w="1047" w:type="pct"/>
          </w:tcPr>
          <w:p w:rsidR="005956FB" w:rsidRPr="002658FB" w:rsidRDefault="005956FB" w:rsidP="005956FB">
            <w:pPr>
              <w:jc w:val="both"/>
              <w:rPr>
                <w:sz w:val="20"/>
                <w:szCs w:val="20"/>
                <w:highlight w:val="yellow"/>
              </w:rPr>
            </w:pPr>
            <w:r w:rsidRPr="002658FB">
              <w:rPr>
                <w:sz w:val="20"/>
                <w:szCs w:val="20"/>
              </w:rPr>
              <w:t>Tecnologías para el biotratamiento de aguas industriales mineras</w:t>
            </w:r>
          </w:p>
        </w:tc>
        <w:tc>
          <w:tcPr>
            <w:tcW w:w="1083" w:type="pct"/>
          </w:tcPr>
          <w:p w:rsidR="005956FB" w:rsidRPr="002658FB" w:rsidRDefault="005956FB" w:rsidP="005956FB">
            <w:pPr>
              <w:rPr>
                <w:sz w:val="20"/>
                <w:szCs w:val="20"/>
                <w:highlight w:val="yellow"/>
              </w:rPr>
            </w:pPr>
            <w:r w:rsidRPr="002658FB">
              <w:rPr>
                <w:sz w:val="20"/>
                <w:szCs w:val="20"/>
              </w:rPr>
              <w:t>Claudia Ortiz Calderón, PhD, Facultad de Química y Biología, Universidad de Santiago de Chile</w:t>
            </w:r>
          </w:p>
        </w:tc>
        <w:tc>
          <w:tcPr>
            <w:tcW w:w="2087" w:type="pct"/>
          </w:tcPr>
          <w:p w:rsidR="005956FB" w:rsidRPr="002658FB" w:rsidRDefault="005956FB" w:rsidP="005956FB">
            <w:pPr>
              <w:jc w:val="both"/>
              <w:rPr>
                <w:sz w:val="20"/>
                <w:szCs w:val="20"/>
                <w:highlight w:val="yellow"/>
              </w:rPr>
            </w:pPr>
            <w:r w:rsidRPr="002658FB">
              <w:rPr>
                <w:sz w:val="20"/>
                <w:szCs w:val="20"/>
              </w:rPr>
              <w:t>Uno de los factores más críticos para la industria minera es la disponibilidad del recurso hídrico. Una aproximación innovadora es el uso de biotratamientos para mejora de la calidad de las aguas. De esta manera, se proporciona sustentabilidad al proceso de tratamiento de agua, ofreciendo una solución tecnológica integral y de bajo costo.</w:t>
            </w:r>
          </w:p>
        </w:tc>
      </w:tr>
      <w:tr w:rsidR="005956FB" w:rsidRPr="002658FB" w:rsidTr="006D0F37">
        <w:trPr>
          <w:jc w:val="center"/>
        </w:trPr>
        <w:tc>
          <w:tcPr>
            <w:tcW w:w="384" w:type="pct"/>
          </w:tcPr>
          <w:p w:rsidR="005956FB" w:rsidRPr="002658FB" w:rsidRDefault="005956FB" w:rsidP="005956FB">
            <w:pPr>
              <w:jc w:val="center"/>
              <w:rPr>
                <w:b/>
                <w:sz w:val="20"/>
                <w:szCs w:val="20"/>
              </w:rPr>
            </w:pPr>
            <w:r w:rsidRPr="002658FB">
              <w:rPr>
                <w:b/>
                <w:sz w:val="20"/>
                <w:szCs w:val="20"/>
              </w:rPr>
              <w:t>9</w:t>
            </w:r>
          </w:p>
        </w:tc>
        <w:tc>
          <w:tcPr>
            <w:tcW w:w="399" w:type="pct"/>
          </w:tcPr>
          <w:p w:rsidR="005956FB" w:rsidRPr="002658FB" w:rsidRDefault="005956FB" w:rsidP="005956FB">
            <w:pPr>
              <w:jc w:val="both"/>
              <w:rPr>
                <w:b/>
                <w:sz w:val="20"/>
                <w:szCs w:val="20"/>
              </w:rPr>
            </w:pPr>
            <w:r w:rsidRPr="002658FB">
              <w:rPr>
                <w:b/>
                <w:sz w:val="20"/>
                <w:szCs w:val="20"/>
              </w:rPr>
              <w:t>12:35 a 12:55</w:t>
            </w:r>
          </w:p>
        </w:tc>
        <w:tc>
          <w:tcPr>
            <w:tcW w:w="1047" w:type="pct"/>
          </w:tcPr>
          <w:p w:rsidR="005956FB" w:rsidRPr="002658FB" w:rsidRDefault="005956FB" w:rsidP="005956FB">
            <w:pPr>
              <w:jc w:val="both"/>
              <w:rPr>
                <w:sz w:val="20"/>
                <w:szCs w:val="20"/>
                <w:highlight w:val="yellow"/>
              </w:rPr>
            </w:pPr>
            <w:r w:rsidRPr="002658FB">
              <w:rPr>
                <w:sz w:val="20"/>
                <w:szCs w:val="20"/>
              </w:rPr>
              <w:t>El enfoque ecosistémico en la gestión ambiental de las cuencas hidrográficas</w:t>
            </w:r>
          </w:p>
        </w:tc>
        <w:tc>
          <w:tcPr>
            <w:tcW w:w="1083" w:type="pct"/>
          </w:tcPr>
          <w:p w:rsidR="005956FB" w:rsidRPr="002658FB" w:rsidRDefault="005956FB" w:rsidP="005956FB">
            <w:pPr>
              <w:rPr>
                <w:sz w:val="20"/>
                <w:szCs w:val="20"/>
                <w:highlight w:val="yellow"/>
              </w:rPr>
            </w:pPr>
            <w:r w:rsidRPr="002658FB">
              <w:rPr>
                <w:sz w:val="20"/>
                <w:szCs w:val="20"/>
              </w:rPr>
              <w:t>Rodrigo Pizarro Gariazzo, PhD, Jefe de la División de Información y Economía Ambienta, Ministerio de Medio Ambiente, Chile</w:t>
            </w:r>
          </w:p>
        </w:tc>
        <w:tc>
          <w:tcPr>
            <w:tcW w:w="2087" w:type="pct"/>
          </w:tcPr>
          <w:p w:rsidR="005956FB" w:rsidRPr="002658FB" w:rsidRDefault="005956FB" w:rsidP="005956FB">
            <w:pPr>
              <w:jc w:val="both"/>
              <w:rPr>
                <w:sz w:val="20"/>
                <w:szCs w:val="20"/>
                <w:highlight w:val="yellow"/>
              </w:rPr>
            </w:pPr>
            <w:r w:rsidRPr="002658FB">
              <w:rPr>
                <w:sz w:val="20"/>
                <w:szCs w:val="20"/>
              </w:rPr>
              <w:t>Presentar estrategias para el desarrollo de un instrumento de pago por servicios ambientales y bancos de compensación en el contexto de la elaboración del Plan de Descontaminación del Lago Villarrica.</w:t>
            </w:r>
          </w:p>
        </w:tc>
      </w:tr>
    </w:tbl>
    <w:p w:rsidR="00F23BF5" w:rsidRPr="002658FB" w:rsidRDefault="00F23BF5" w:rsidP="00FF7CBC"/>
    <w:sectPr w:rsidR="00F23BF5" w:rsidRPr="002658FB" w:rsidSect="004D070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629B1"/>
    <w:multiLevelType w:val="hybridMultilevel"/>
    <w:tmpl w:val="DD5E1568"/>
    <w:lvl w:ilvl="0" w:tplc="3892C20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E611D"/>
    <w:rsid w:val="00003154"/>
    <w:rsid w:val="000105C6"/>
    <w:rsid w:val="000345BC"/>
    <w:rsid w:val="00040F21"/>
    <w:rsid w:val="00064C1A"/>
    <w:rsid w:val="00083C1E"/>
    <w:rsid w:val="00093AC7"/>
    <w:rsid w:val="000B2805"/>
    <w:rsid w:val="000D05E0"/>
    <w:rsid w:val="00133FEF"/>
    <w:rsid w:val="001C2A2C"/>
    <w:rsid w:val="001D647B"/>
    <w:rsid w:val="00206E5D"/>
    <w:rsid w:val="00214B5F"/>
    <w:rsid w:val="002658FB"/>
    <w:rsid w:val="00276D14"/>
    <w:rsid w:val="00286182"/>
    <w:rsid w:val="00337697"/>
    <w:rsid w:val="00380D74"/>
    <w:rsid w:val="00390E80"/>
    <w:rsid w:val="003E5F84"/>
    <w:rsid w:val="003F5F89"/>
    <w:rsid w:val="004228AE"/>
    <w:rsid w:val="00425E47"/>
    <w:rsid w:val="0045281A"/>
    <w:rsid w:val="00473565"/>
    <w:rsid w:val="0048621F"/>
    <w:rsid w:val="004A449F"/>
    <w:rsid w:val="004B080C"/>
    <w:rsid w:val="004D0709"/>
    <w:rsid w:val="00523A13"/>
    <w:rsid w:val="00532C18"/>
    <w:rsid w:val="00590499"/>
    <w:rsid w:val="005956FB"/>
    <w:rsid w:val="005A42EA"/>
    <w:rsid w:val="005A5D32"/>
    <w:rsid w:val="005B08D9"/>
    <w:rsid w:val="005E6A9B"/>
    <w:rsid w:val="005F36F3"/>
    <w:rsid w:val="00606232"/>
    <w:rsid w:val="006820EC"/>
    <w:rsid w:val="006B264F"/>
    <w:rsid w:val="006D0F37"/>
    <w:rsid w:val="006F37B4"/>
    <w:rsid w:val="006F3890"/>
    <w:rsid w:val="006F712C"/>
    <w:rsid w:val="00756FF6"/>
    <w:rsid w:val="00785339"/>
    <w:rsid w:val="007D6938"/>
    <w:rsid w:val="007F7DC7"/>
    <w:rsid w:val="008051E7"/>
    <w:rsid w:val="00857B00"/>
    <w:rsid w:val="008679D3"/>
    <w:rsid w:val="008C1B64"/>
    <w:rsid w:val="008C612C"/>
    <w:rsid w:val="00911C7B"/>
    <w:rsid w:val="009217DA"/>
    <w:rsid w:val="009607F2"/>
    <w:rsid w:val="009A3F79"/>
    <w:rsid w:val="009B4EB9"/>
    <w:rsid w:val="009C2C93"/>
    <w:rsid w:val="009D35E8"/>
    <w:rsid w:val="009F4283"/>
    <w:rsid w:val="00A2171B"/>
    <w:rsid w:val="00A57AFF"/>
    <w:rsid w:val="00AC39CF"/>
    <w:rsid w:val="00AE611D"/>
    <w:rsid w:val="00BB0860"/>
    <w:rsid w:val="00C30983"/>
    <w:rsid w:val="00C87664"/>
    <w:rsid w:val="00CE754C"/>
    <w:rsid w:val="00CF1CA4"/>
    <w:rsid w:val="00D2062D"/>
    <w:rsid w:val="00D2740F"/>
    <w:rsid w:val="00D92D53"/>
    <w:rsid w:val="00DD6F3A"/>
    <w:rsid w:val="00E479B8"/>
    <w:rsid w:val="00ED4C09"/>
    <w:rsid w:val="00ED61AC"/>
    <w:rsid w:val="00F23BF5"/>
    <w:rsid w:val="00F7519C"/>
    <w:rsid w:val="00FF1924"/>
    <w:rsid w:val="00FF7CB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611D"/>
    <w:pPr>
      <w:ind w:left="720"/>
      <w:contextualSpacing/>
    </w:pPr>
  </w:style>
  <w:style w:type="table" w:styleId="Tablaconcuadrcula">
    <w:name w:val="Table Grid"/>
    <w:basedOn w:val="Tablanormal"/>
    <w:uiPriority w:val="59"/>
    <w:rsid w:val="00911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B08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0860"/>
    <w:rPr>
      <w:rFonts w:ascii="Segoe UI" w:hAnsi="Segoe UI" w:cs="Segoe UI"/>
      <w:sz w:val="18"/>
      <w:szCs w:val="18"/>
    </w:rPr>
  </w:style>
  <w:style w:type="character" w:styleId="Hipervnculo">
    <w:name w:val="Hyperlink"/>
    <w:basedOn w:val="Fuentedeprrafopredeter"/>
    <w:uiPriority w:val="99"/>
    <w:unhideWhenUsed/>
    <w:rsid w:val="00425E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2525627">
      <w:bodyDiv w:val="1"/>
      <w:marLeft w:val="0"/>
      <w:marRight w:val="0"/>
      <w:marTop w:val="0"/>
      <w:marBottom w:val="0"/>
      <w:divBdr>
        <w:top w:val="none" w:sz="0" w:space="0" w:color="auto"/>
        <w:left w:val="none" w:sz="0" w:space="0" w:color="auto"/>
        <w:bottom w:val="none" w:sz="0" w:space="0" w:color="auto"/>
        <w:right w:val="none" w:sz="0" w:space="0" w:color="auto"/>
      </w:divBdr>
      <w:divsChild>
        <w:div w:id="1696884923">
          <w:marLeft w:val="0"/>
          <w:marRight w:val="0"/>
          <w:marTop w:val="0"/>
          <w:marBottom w:val="0"/>
          <w:divBdr>
            <w:top w:val="none" w:sz="0" w:space="0" w:color="auto"/>
            <w:left w:val="none" w:sz="0" w:space="0" w:color="auto"/>
            <w:bottom w:val="none" w:sz="0" w:space="0" w:color="auto"/>
            <w:right w:val="none" w:sz="0" w:space="0" w:color="auto"/>
          </w:divBdr>
        </w:div>
        <w:div w:id="12727858">
          <w:marLeft w:val="0"/>
          <w:marRight w:val="0"/>
          <w:marTop w:val="0"/>
          <w:marBottom w:val="0"/>
          <w:divBdr>
            <w:top w:val="none" w:sz="0" w:space="0" w:color="auto"/>
            <w:left w:val="none" w:sz="0" w:space="0" w:color="auto"/>
            <w:bottom w:val="none" w:sz="0" w:space="0" w:color="auto"/>
            <w:right w:val="none" w:sz="0" w:space="0" w:color="auto"/>
          </w:divBdr>
        </w:div>
        <w:div w:id="887957715">
          <w:marLeft w:val="0"/>
          <w:marRight w:val="0"/>
          <w:marTop w:val="0"/>
          <w:marBottom w:val="0"/>
          <w:divBdr>
            <w:top w:val="none" w:sz="0" w:space="0" w:color="auto"/>
            <w:left w:val="none" w:sz="0" w:space="0" w:color="auto"/>
            <w:bottom w:val="none" w:sz="0" w:space="0" w:color="auto"/>
            <w:right w:val="none" w:sz="0" w:space="0" w:color="auto"/>
          </w:divBdr>
        </w:div>
        <w:div w:id="1276594158">
          <w:marLeft w:val="0"/>
          <w:marRight w:val="0"/>
          <w:marTop w:val="0"/>
          <w:marBottom w:val="0"/>
          <w:divBdr>
            <w:top w:val="none" w:sz="0" w:space="0" w:color="auto"/>
            <w:left w:val="none" w:sz="0" w:space="0" w:color="auto"/>
            <w:bottom w:val="none" w:sz="0" w:space="0" w:color="auto"/>
            <w:right w:val="none" w:sz="0" w:space="0" w:color="auto"/>
          </w:divBdr>
        </w:div>
        <w:div w:id="159930729">
          <w:marLeft w:val="0"/>
          <w:marRight w:val="0"/>
          <w:marTop w:val="0"/>
          <w:marBottom w:val="0"/>
          <w:divBdr>
            <w:top w:val="none" w:sz="0" w:space="0" w:color="auto"/>
            <w:left w:val="none" w:sz="0" w:space="0" w:color="auto"/>
            <w:bottom w:val="none" w:sz="0" w:space="0" w:color="auto"/>
            <w:right w:val="none" w:sz="0" w:space="0" w:color="auto"/>
          </w:divBdr>
        </w:div>
      </w:divsChild>
    </w:div>
    <w:div w:id="1575508368">
      <w:bodyDiv w:val="1"/>
      <w:marLeft w:val="0"/>
      <w:marRight w:val="0"/>
      <w:marTop w:val="0"/>
      <w:marBottom w:val="0"/>
      <w:divBdr>
        <w:top w:val="none" w:sz="0" w:space="0" w:color="auto"/>
        <w:left w:val="none" w:sz="0" w:space="0" w:color="auto"/>
        <w:bottom w:val="none" w:sz="0" w:space="0" w:color="auto"/>
        <w:right w:val="none" w:sz="0" w:space="0" w:color="auto"/>
      </w:divBdr>
      <w:divsChild>
        <w:div w:id="1599674664">
          <w:marLeft w:val="0"/>
          <w:marRight w:val="0"/>
          <w:marTop w:val="0"/>
          <w:marBottom w:val="0"/>
          <w:divBdr>
            <w:top w:val="none" w:sz="0" w:space="0" w:color="auto"/>
            <w:left w:val="none" w:sz="0" w:space="0" w:color="auto"/>
            <w:bottom w:val="none" w:sz="0" w:space="0" w:color="auto"/>
            <w:right w:val="none" w:sz="0" w:space="0" w:color="auto"/>
          </w:divBdr>
        </w:div>
        <w:div w:id="808210178">
          <w:marLeft w:val="0"/>
          <w:marRight w:val="0"/>
          <w:marTop w:val="0"/>
          <w:marBottom w:val="0"/>
          <w:divBdr>
            <w:top w:val="none" w:sz="0" w:space="0" w:color="auto"/>
            <w:left w:val="none" w:sz="0" w:space="0" w:color="auto"/>
            <w:bottom w:val="none" w:sz="0" w:space="0" w:color="auto"/>
            <w:right w:val="none" w:sz="0" w:space="0" w:color="auto"/>
          </w:divBdr>
        </w:div>
        <w:div w:id="70945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gomen@irrigacion.gov.ar" TargetMode="External"/><Relationship Id="rId3" Type="http://schemas.openxmlformats.org/officeDocument/2006/relationships/settings" Target="settings.xml"/><Relationship Id="rId7" Type="http://schemas.openxmlformats.org/officeDocument/2006/relationships/hyperlink" Target="mailto:aliciaduek@yahoo.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lopez@ina.gob.ar" TargetMode="External"/><Relationship Id="rId11" Type="http://schemas.openxmlformats.org/officeDocument/2006/relationships/fontTable" Target="fontTable.xml"/><Relationship Id="rId5" Type="http://schemas.openxmlformats.org/officeDocument/2006/relationships/hyperlink" Target="mailto:marilyngudino@yahoo.com.ar" TargetMode="External"/><Relationship Id="rId10" Type="http://schemas.openxmlformats.org/officeDocument/2006/relationships/hyperlink" Target="mailto:jaime.pizarro@usach.cl" TargetMode="External"/><Relationship Id="rId4" Type="http://schemas.openxmlformats.org/officeDocument/2006/relationships/webSettings" Target="webSettings.xml"/><Relationship Id="rId9" Type="http://schemas.openxmlformats.org/officeDocument/2006/relationships/hyperlink" Target="mailto:leandrodmarti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revisor</cp:lastModifiedBy>
  <cp:revision>2</cp:revision>
  <cp:lastPrinted>2016-08-05T13:36:00Z</cp:lastPrinted>
  <dcterms:created xsi:type="dcterms:W3CDTF">2016-08-27T18:56:00Z</dcterms:created>
  <dcterms:modified xsi:type="dcterms:W3CDTF">2016-08-27T18:56:00Z</dcterms:modified>
</cp:coreProperties>
</file>